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3979B" w14:textId="77777777" w:rsidR="00026B13" w:rsidRPr="009B381E" w:rsidRDefault="00026B13" w:rsidP="00312FF3">
      <w:pPr>
        <w:pStyle w:val="Title"/>
        <w:spacing w:line="276" w:lineRule="auto"/>
        <w:rPr>
          <w:sz w:val="24"/>
          <w:szCs w:val="24"/>
        </w:rPr>
      </w:pPr>
    </w:p>
    <w:p w14:paraId="5E4F6C6D" w14:textId="77777777" w:rsidR="004C1092" w:rsidRPr="009B381E" w:rsidRDefault="004C1092" w:rsidP="00312FF3">
      <w:pPr>
        <w:pStyle w:val="Title"/>
        <w:spacing w:line="276" w:lineRule="auto"/>
        <w:rPr>
          <w:sz w:val="24"/>
          <w:szCs w:val="24"/>
        </w:rPr>
      </w:pPr>
    </w:p>
    <w:p w14:paraId="2BA52A8F" w14:textId="2B743D98" w:rsidR="0025682E" w:rsidRPr="009B381E" w:rsidRDefault="00670C79" w:rsidP="00312FF3">
      <w:pPr>
        <w:pStyle w:val="Title"/>
        <w:spacing w:line="276" w:lineRule="auto"/>
        <w:rPr>
          <w:sz w:val="24"/>
          <w:szCs w:val="24"/>
        </w:rPr>
      </w:pPr>
      <w:r w:rsidRPr="009B381E">
        <w:rPr>
          <w:sz w:val="24"/>
          <w:szCs w:val="24"/>
        </w:rPr>
        <w:t>NOTĂ DE  FUNDAMENTARE</w:t>
      </w:r>
      <w:r w:rsidR="00662E0D" w:rsidRPr="009B381E">
        <w:rPr>
          <w:sz w:val="24"/>
          <w:szCs w:val="24"/>
        </w:rPr>
        <w:t xml:space="preserve"> </w:t>
      </w:r>
    </w:p>
    <w:p w14:paraId="16E1A72E" w14:textId="77777777" w:rsidR="0025682E" w:rsidRPr="009B381E" w:rsidRDefault="0025682E" w:rsidP="00312FF3">
      <w:pPr>
        <w:spacing w:line="276" w:lineRule="auto"/>
      </w:pPr>
    </w:p>
    <w:p w14:paraId="0DDE3CC0" w14:textId="77777777" w:rsidR="004C1092" w:rsidRPr="009B381E" w:rsidRDefault="004C1092" w:rsidP="00312FF3">
      <w:pPr>
        <w:spacing w:line="276" w:lineRule="auto"/>
      </w:pPr>
    </w:p>
    <w:p w14:paraId="21CD5C02" w14:textId="77777777" w:rsidR="004C1092" w:rsidRPr="009B381E" w:rsidRDefault="004C1092" w:rsidP="00312FF3">
      <w:pPr>
        <w:spacing w:line="276" w:lineRule="auto"/>
      </w:pP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520BE3" w:rsidRPr="009B381E" w14:paraId="117C71DD" w14:textId="77777777" w:rsidTr="006A5A1B">
        <w:tc>
          <w:tcPr>
            <w:tcW w:w="10206" w:type="dxa"/>
          </w:tcPr>
          <w:p w14:paraId="12BCBC7C" w14:textId="10FA58DA" w:rsidR="00611644" w:rsidRPr="009B381E" w:rsidRDefault="00611644" w:rsidP="00312FF3">
            <w:pPr>
              <w:widowControl w:val="0"/>
              <w:spacing w:line="276" w:lineRule="auto"/>
              <w:jc w:val="both"/>
              <w:rPr>
                <w:lang w:eastAsia="ro-RO"/>
              </w:rPr>
            </w:pPr>
          </w:p>
          <w:p w14:paraId="5A2835A5" w14:textId="34CC468A" w:rsidR="00611644" w:rsidRPr="009B381E" w:rsidRDefault="00D35098" w:rsidP="00312FF3">
            <w:pPr>
              <w:pStyle w:val="Heading6"/>
              <w:spacing w:before="0" w:after="0" w:line="276" w:lineRule="auto"/>
              <w:jc w:val="center"/>
              <w:rPr>
                <w:sz w:val="24"/>
              </w:rPr>
            </w:pPr>
            <w:r w:rsidRPr="009B381E">
              <w:rPr>
                <w:sz w:val="24"/>
              </w:rPr>
              <w:t>Secțiunea</w:t>
            </w:r>
            <w:r w:rsidR="00611644" w:rsidRPr="009B381E">
              <w:rPr>
                <w:sz w:val="24"/>
              </w:rPr>
              <w:t xml:space="preserve"> 1</w:t>
            </w:r>
          </w:p>
          <w:p w14:paraId="19B440B1" w14:textId="63C18D1E" w:rsidR="00611644" w:rsidRPr="009B381E" w:rsidRDefault="00611644" w:rsidP="00312FF3">
            <w:pPr>
              <w:pStyle w:val="Heading6"/>
              <w:spacing w:before="0" w:after="0" w:line="276" w:lineRule="auto"/>
              <w:jc w:val="center"/>
              <w:rPr>
                <w:sz w:val="24"/>
              </w:rPr>
            </w:pPr>
            <w:r w:rsidRPr="009B381E">
              <w:rPr>
                <w:sz w:val="24"/>
              </w:rPr>
              <w:t>Titlul proiectului de act normativ</w:t>
            </w:r>
          </w:p>
          <w:p w14:paraId="134F9650" w14:textId="77777777" w:rsidR="0066428B" w:rsidRPr="009B381E" w:rsidRDefault="0066428B" w:rsidP="00312FF3">
            <w:pPr>
              <w:spacing w:line="276" w:lineRule="auto"/>
            </w:pPr>
          </w:p>
          <w:p w14:paraId="716C817E" w14:textId="74FFC3C1" w:rsidR="00EF1796" w:rsidRPr="00885808" w:rsidRDefault="008F0BD5" w:rsidP="00EF1796">
            <w:pPr>
              <w:autoSpaceDE w:val="0"/>
              <w:autoSpaceDN w:val="0"/>
              <w:adjustRightInd w:val="0"/>
              <w:spacing w:after="120"/>
              <w:jc w:val="center"/>
            </w:pPr>
            <w:r>
              <w:t xml:space="preserve">Hotărâre a Guvernului </w:t>
            </w:r>
            <w:r w:rsidR="00EF1796" w:rsidRPr="00885808">
              <w:t xml:space="preserve">privind regulile de eligibilitate a cheltuielilor efectuate în cadrul operațiunilor finanțate prin </w:t>
            </w:r>
            <w:bookmarkStart w:id="0" w:name="_Hlk88824937"/>
            <w:r w:rsidR="00EF1796" w:rsidRPr="00885808">
              <w:t xml:space="preserve">Fondul european de dezvoltare regională, Fondul social european plus, Fondul de coeziune și </w:t>
            </w:r>
            <w:r w:rsidR="00EF1796" w:rsidRPr="00885808">
              <w:rPr>
                <w:lang w:eastAsia="en-GB"/>
              </w:rPr>
              <w:t xml:space="preserve">Fondul pentru </w:t>
            </w:r>
            <w:r w:rsidR="006A53D7">
              <w:rPr>
                <w:lang w:eastAsia="en-GB"/>
              </w:rPr>
              <w:t xml:space="preserve">o </w:t>
            </w:r>
            <w:r w:rsidR="00EF1796" w:rsidRPr="00885808">
              <w:rPr>
                <w:lang w:eastAsia="en-GB"/>
              </w:rPr>
              <w:t xml:space="preserve">tranziție justă </w:t>
            </w:r>
            <w:r w:rsidR="00EF1796" w:rsidRPr="00885808">
              <w:rPr>
                <w:color w:val="000000"/>
                <w:lang w:eastAsia="en-GB"/>
              </w:rPr>
              <w:t>2021-2027</w:t>
            </w:r>
            <w:bookmarkEnd w:id="0"/>
          </w:p>
          <w:p w14:paraId="338F09EC" w14:textId="78C38E37" w:rsidR="00670C79" w:rsidRPr="009B381E" w:rsidRDefault="00670C79" w:rsidP="00EF1796">
            <w:pPr>
              <w:widowControl w:val="0"/>
              <w:spacing w:line="276" w:lineRule="auto"/>
              <w:jc w:val="center"/>
              <w:rPr>
                <w:b/>
                <w:lang w:eastAsia="ro-RO"/>
              </w:rPr>
            </w:pPr>
          </w:p>
        </w:tc>
      </w:tr>
    </w:tbl>
    <w:p w14:paraId="6E28D791" w14:textId="77777777" w:rsidR="00670C79" w:rsidRPr="009B381E" w:rsidRDefault="00670C79" w:rsidP="00312FF3">
      <w:pPr>
        <w:spacing w:line="276" w:lineRule="auto"/>
        <w:rPr>
          <w:lang w:eastAsia="ro-RO"/>
        </w:rPr>
      </w:pPr>
      <w:r w:rsidRPr="009B381E">
        <w:rPr>
          <w:lang w:eastAsia="ro-RO"/>
        </w:rPr>
        <w:t xml:space="preserve"> </w:t>
      </w:r>
    </w:p>
    <w:p w14:paraId="23181ACA" w14:textId="6A2BF2F1" w:rsidR="00CB78C4" w:rsidRPr="009B381E" w:rsidRDefault="00670C79" w:rsidP="00312FF3">
      <w:pPr>
        <w:spacing w:line="276" w:lineRule="auto"/>
        <w:rPr>
          <w:b/>
          <w:lang w:eastAsia="ro-RO"/>
        </w:rPr>
      </w:pPr>
      <w:r w:rsidRPr="009B381E">
        <w:rPr>
          <w:b/>
          <w:lang w:eastAsia="ro-RO"/>
        </w:rPr>
        <w:t xml:space="preserve">   </w:t>
      </w:r>
      <w:r w:rsidR="00AA6FD4" w:rsidRPr="009B381E">
        <w:rPr>
          <w:b/>
          <w:lang w:eastAsia="ro-RO"/>
        </w:rPr>
        <w:t xml:space="preserve">  </w:t>
      </w:r>
      <w:r w:rsidR="007C16BF" w:rsidRPr="009B381E">
        <w:rPr>
          <w:b/>
          <w:lang w:eastAsia="ro-RO"/>
        </w:rPr>
        <w:t xml:space="preserve"> </w:t>
      </w:r>
      <w:r w:rsidR="00C5468F" w:rsidRPr="009B381E">
        <w:rPr>
          <w:b/>
          <w:lang w:eastAsia="ro-RO"/>
        </w:rPr>
        <w:t>Secțiunea</w:t>
      </w:r>
      <w:r w:rsidRPr="009B381E">
        <w:rPr>
          <w:b/>
          <w:lang w:eastAsia="ro-RO"/>
        </w:rPr>
        <w:t xml:space="preserve"> a 2-a  Motivul emiterii actului normativ</w:t>
      </w:r>
      <w:r w:rsidR="0066428B" w:rsidRPr="009B381E">
        <w:rPr>
          <w:b/>
          <w:lang w:eastAsia="ro-RO"/>
        </w:rPr>
        <w:t xml:space="preserve"> </w:t>
      </w:r>
    </w:p>
    <w:p w14:paraId="3FFBCA59" w14:textId="77777777" w:rsidR="00DB71DB" w:rsidRPr="009B381E" w:rsidRDefault="00DB71DB" w:rsidP="00312FF3">
      <w:pPr>
        <w:spacing w:line="276" w:lineRule="auto"/>
        <w:rPr>
          <w:b/>
          <w:lang w:eastAsia="ro-RO"/>
        </w:rPr>
      </w:pPr>
    </w:p>
    <w:tbl>
      <w:tblPr>
        <w:tblW w:w="1019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9"/>
        <w:gridCol w:w="7938"/>
      </w:tblGrid>
      <w:tr w:rsidR="00520BE3" w:rsidRPr="009B381E" w14:paraId="47D7FD1D" w14:textId="77777777" w:rsidTr="00C3339F">
        <w:trPr>
          <w:trHeight w:val="557"/>
        </w:trPr>
        <w:tc>
          <w:tcPr>
            <w:tcW w:w="2259" w:type="dxa"/>
          </w:tcPr>
          <w:p w14:paraId="636EB141" w14:textId="1B22BA8F" w:rsidR="00670C79" w:rsidRPr="009B381E" w:rsidRDefault="00670C79" w:rsidP="00A70147">
            <w:pPr>
              <w:pStyle w:val="BodyText2"/>
              <w:spacing w:after="120"/>
              <w:rPr>
                <w:sz w:val="24"/>
                <w:lang w:eastAsia="ro-RO"/>
              </w:rPr>
            </w:pPr>
            <w:r w:rsidRPr="009B381E">
              <w:rPr>
                <w:sz w:val="24"/>
                <w:lang w:eastAsia="ro-RO"/>
              </w:rPr>
              <w:t xml:space="preserve">1.Descrierea </w:t>
            </w:r>
            <w:r w:rsidR="000F6105" w:rsidRPr="009B381E">
              <w:rPr>
                <w:sz w:val="24"/>
                <w:lang w:eastAsia="ro-RO"/>
              </w:rPr>
              <w:t>situației</w:t>
            </w:r>
            <w:r w:rsidRPr="009B381E">
              <w:rPr>
                <w:sz w:val="24"/>
                <w:lang w:eastAsia="ro-RO"/>
              </w:rPr>
              <w:t xml:space="preserve"> actuale</w:t>
            </w:r>
          </w:p>
        </w:tc>
        <w:tc>
          <w:tcPr>
            <w:tcW w:w="7938" w:type="dxa"/>
          </w:tcPr>
          <w:p w14:paraId="461B0F91" w14:textId="321B5678" w:rsidR="00DF278B" w:rsidRPr="009B381E" w:rsidRDefault="00BF4B8F" w:rsidP="00805594">
            <w:pPr>
              <w:autoSpaceDE w:val="0"/>
              <w:autoSpaceDN w:val="0"/>
              <w:adjustRightInd w:val="0"/>
              <w:ind w:firstLine="317"/>
              <w:jc w:val="both"/>
              <w:rPr>
                <w:lang w:eastAsia="en-GB"/>
              </w:rPr>
            </w:pPr>
            <w:r w:rsidRPr="009B381E">
              <w:rPr>
                <w:lang w:eastAsia="en-GB"/>
              </w:rPr>
              <w:t xml:space="preserve">Politica de coeziune este una din cele mai importante și mai complexe politici ale Uniunii Europene, având ca principal obiectiv reducerea decalajelor economice, sociale </w:t>
            </w:r>
            <w:r w:rsidR="00A67E0B" w:rsidRPr="009B381E">
              <w:rPr>
                <w:lang w:eastAsia="en-GB"/>
              </w:rPr>
              <w:t>și</w:t>
            </w:r>
            <w:r w:rsidRPr="009B381E">
              <w:rPr>
                <w:lang w:eastAsia="en-GB"/>
              </w:rPr>
              <w:t xml:space="preserve"> teritoriale între diversele regiuni și state membre ale Uniunii Europene. În cadrul acestei politici, obiectivele specifice privind creșterea economică și ocuparea forței de muncă sunt susținute prin contribuția fondurilor  externe nerambursabile  implementate prin bugete multianuale de 7 ani (perioade de programare).</w:t>
            </w:r>
          </w:p>
          <w:p w14:paraId="2CDD5F69" w14:textId="67B9FD23" w:rsidR="00E00A57" w:rsidRDefault="00305E5F" w:rsidP="00805594">
            <w:pPr>
              <w:autoSpaceDE w:val="0"/>
              <w:autoSpaceDN w:val="0"/>
              <w:adjustRightInd w:val="0"/>
              <w:ind w:firstLine="317"/>
              <w:jc w:val="both"/>
              <w:rPr>
                <w:lang w:eastAsia="en-GB"/>
              </w:rPr>
            </w:pPr>
            <w:r w:rsidRPr="009B381E">
              <w:rPr>
                <w:lang w:eastAsia="en-GB"/>
              </w:rPr>
              <w:t>Pentru perioada de programare 2021-2027,</w:t>
            </w:r>
            <w:r w:rsidR="007F6E47">
              <w:rPr>
                <w:lang w:eastAsia="en-GB"/>
              </w:rPr>
              <w:t xml:space="preserve"> în iunie 2021,</w:t>
            </w:r>
            <w:r w:rsidRPr="009B381E">
              <w:rPr>
                <w:lang w:eastAsia="en-GB"/>
              </w:rPr>
              <w:t xml:space="preserve"> au fost adoptate reglementări comune pentru opt fonduri cu gestiune partajată pentru a</w:t>
            </w:r>
            <w:r w:rsidRPr="009B381E">
              <w:t xml:space="preserve"> </w:t>
            </w:r>
            <w:r w:rsidRPr="009B381E">
              <w:rPr>
                <w:lang w:eastAsia="en-GB"/>
              </w:rPr>
              <w:t xml:space="preserve">uniformiza regulile de utilizare a  resurselor financiare puse la dispoziția statelor membre din bugetul Uniunii Europene. </w:t>
            </w:r>
          </w:p>
          <w:p w14:paraId="3F2E35EB" w14:textId="68A8C012" w:rsidR="00305E5F" w:rsidRPr="009B381E" w:rsidRDefault="00305E5F" w:rsidP="00805594">
            <w:pPr>
              <w:autoSpaceDE w:val="0"/>
              <w:autoSpaceDN w:val="0"/>
              <w:adjustRightInd w:val="0"/>
              <w:ind w:firstLine="317"/>
              <w:jc w:val="both"/>
              <w:rPr>
                <w:lang w:eastAsia="en-GB"/>
              </w:rPr>
            </w:pPr>
            <w:r w:rsidRPr="009B381E">
              <w:rPr>
                <w:lang w:eastAsia="en-GB"/>
              </w:rPr>
              <w:t>Astfel,</w:t>
            </w:r>
            <w:r w:rsidR="00481A82" w:rsidRPr="009B381E">
              <w:t xml:space="preserve"> </w:t>
            </w:r>
            <w:r w:rsidR="00481A82" w:rsidRPr="009B381E">
              <w:rPr>
                <w:lang w:eastAsia="en-GB"/>
              </w:rPr>
              <w:t xml:space="preserve">Regulamentul (UE) </w:t>
            </w:r>
            <w:r w:rsidR="00EF1796">
              <w:rPr>
                <w:lang w:eastAsia="en-GB"/>
              </w:rPr>
              <w:t>2021</w:t>
            </w:r>
            <w:r w:rsidR="0069320F">
              <w:rPr>
                <w:lang w:eastAsia="en-GB"/>
              </w:rPr>
              <w:t>/1060</w:t>
            </w:r>
            <w:r w:rsidR="00EF1796">
              <w:rPr>
                <w:lang w:eastAsia="en-GB"/>
              </w:rPr>
              <w:t xml:space="preserve"> </w:t>
            </w:r>
            <w:r w:rsidR="00481A82" w:rsidRPr="009B381E">
              <w:rPr>
                <w:lang w:eastAsia="en-GB"/>
              </w:rPr>
              <w:t xml:space="preserve">al Parlamentului European și al Consiliului din 24 iunie 2021 de stabilire a dispozițiilor comune </w:t>
            </w:r>
            <w:r w:rsidR="00481A82" w:rsidRPr="00EF1796">
              <w:rPr>
                <w:i/>
                <w:lang w:eastAsia="en-GB"/>
              </w:rPr>
              <w:t>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9B381E">
              <w:rPr>
                <w:lang w:eastAsia="en-GB"/>
              </w:rPr>
              <w:t xml:space="preserve"> </w:t>
            </w:r>
            <w:r w:rsidR="00EF1796">
              <w:rPr>
                <w:lang w:eastAsia="en-GB"/>
              </w:rPr>
              <w:t>are ca scop</w:t>
            </w:r>
            <w:r w:rsidRPr="009B381E">
              <w:rPr>
                <w:lang w:eastAsia="en-GB"/>
              </w:rPr>
              <w:t xml:space="preserve"> îmbunătățirea coordonării și armonizării implementării fondurilor care furnizează contribuții în</w:t>
            </w:r>
            <w:r w:rsidR="00481A82" w:rsidRPr="009B381E">
              <w:rPr>
                <w:lang w:eastAsia="en-GB"/>
              </w:rPr>
              <w:t xml:space="preserve"> temeiul politicii de coeziune, reducându-se </w:t>
            </w:r>
            <w:r w:rsidRPr="009B381E">
              <w:rPr>
                <w:lang w:eastAsia="en-GB"/>
              </w:rPr>
              <w:t xml:space="preserve">fragmentarea utilizării resurselor financiare puse la dispoziția statelor membre din bugetul Uniunii Europene. </w:t>
            </w:r>
          </w:p>
          <w:p w14:paraId="3AF1E221" w14:textId="77777777" w:rsidR="00DF278B" w:rsidRPr="009B381E" w:rsidRDefault="00305E5F" w:rsidP="00805594">
            <w:pPr>
              <w:autoSpaceDE w:val="0"/>
              <w:autoSpaceDN w:val="0"/>
              <w:adjustRightInd w:val="0"/>
              <w:ind w:firstLine="317"/>
              <w:jc w:val="both"/>
              <w:rPr>
                <w:lang w:eastAsia="en-GB"/>
              </w:rPr>
            </w:pPr>
            <w:r w:rsidRPr="009B381E">
              <w:rPr>
                <w:lang w:eastAsia="en-GB"/>
              </w:rPr>
              <w:t xml:space="preserve">   </w:t>
            </w:r>
            <w:r w:rsidR="00DF278B" w:rsidRPr="009B381E">
              <w:rPr>
                <w:lang w:eastAsia="en-GB"/>
              </w:rPr>
              <w:t>Pentru perioada de programare 2021-2027, în cadrul politicii de coeziune, România accesează fonduri externe nerambursabile în cadrul a cinci obiective de politică:</w:t>
            </w:r>
          </w:p>
          <w:p w14:paraId="6C7CD02C" w14:textId="77777777" w:rsidR="00DF278B" w:rsidRPr="009B381E" w:rsidRDefault="00DF278B" w:rsidP="00805594">
            <w:pPr>
              <w:autoSpaceDE w:val="0"/>
              <w:autoSpaceDN w:val="0"/>
              <w:adjustRightInd w:val="0"/>
              <w:ind w:firstLine="317"/>
              <w:jc w:val="both"/>
              <w:rPr>
                <w:lang w:eastAsia="en-GB"/>
              </w:rPr>
            </w:pPr>
            <w:r w:rsidRPr="009B381E">
              <w:rPr>
                <w:lang w:eastAsia="en-GB"/>
              </w:rPr>
              <w:t>1.</w:t>
            </w:r>
            <w:r w:rsidRPr="009B381E">
              <w:rPr>
                <w:lang w:eastAsia="en-GB"/>
              </w:rPr>
              <w:tab/>
              <w:t>O Europă mai inteligentă – o transformare economică inovatoare și inteligentă.</w:t>
            </w:r>
          </w:p>
          <w:p w14:paraId="0B4B0D11" w14:textId="77777777" w:rsidR="00DF278B" w:rsidRPr="009B381E" w:rsidRDefault="00DF278B" w:rsidP="00805594">
            <w:pPr>
              <w:autoSpaceDE w:val="0"/>
              <w:autoSpaceDN w:val="0"/>
              <w:adjustRightInd w:val="0"/>
              <w:ind w:firstLine="317"/>
              <w:jc w:val="both"/>
              <w:rPr>
                <w:lang w:eastAsia="en-GB"/>
              </w:rPr>
            </w:pPr>
            <w:r w:rsidRPr="009B381E">
              <w:rPr>
                <w:lang w:eastAsia="en-GB"/>
              </w:rPr>
              <w:t>2.</w:t>
            </w:r>
            <w:r w:rsidRPr="009B381E">
              <w:rPr>
                <w:lang w:eastAsia="en-GB"/>
              </w:rPr>
              <w:tab/>
              <w:t>O Europă mai ecologică, cu emisii scăzute de carbon.</w:t>
            </w:r>
          </w:p>
          <w:p w14:paraId="5940FA00" w14:textId="77777777" w:rsidR="00DF278B" w:rsidRPr="009B381E" w:rsidRDefault="00DF278B" w:rsidP="00805594">
            <w:pPr>
              <w:autoSpaceDE w:val="0"/>
              <w:autoSpaceDN w:val="0"/>
              <w:adjustRightInd w:val="0"/>
              <w:ind w:firstLine="317"/>
              <w:jc w:val="both"/>
              <w:rPr>
                <w:lang w:eastAsia="en-GB"/>
              </w:rPr>
            </w:pPr>
            <w:r w:rsidRPr="009B381E">
              <w:rPr>
                <w:lang w:eastAsia="en-GB"/>
              </w:rPr>
              <w:t>3.</w:t>
            </w:r>
            <w:r w:rsidRPr="009B381E">
              <w:rPr>
                <w:lang w:eastAsia="en-GB"/>
              </w:rPr>
              <w:tab/>
              <w:t>O Europă mai conectată – mobilitate și conectivitate TIC regională.</w:t>
            </w:r>
          </w:p>
          <w:p w14:paraId="2CC3AE03" w14:textId="77777777" w:rsidR="00DF278B" w:rsidRPr="009B381E" w:rsidRDefault="00DF278B" w:rsidP="00805594">
            <w:pPr>
              <w:autoSpaceDE w:val="0"/>
              <w:autoSpaceDN w:val="0"/>
              <w:adjustRightInd w:val="0"/>
              <w:ind w:firstLine="317"/>
              <w:jc w:val="both"/>
              <w:rPr>
                <w:lang w:eastAsia="en-GB"/>
              </w:rPr>
            </w:pPr>
            <w:r w:rsidRPr="009B381E">
              <w:rPr>
                <w:lang w:eastAsia="en-GB"/>
              </w:rPr>
              <w:t>4.</w:t>
            </w:r>
            <w:r w:rsidRPr="009B381E">
              <w:rPr>
                <w:lang w:eastAsia="en-GB"/>
              </w:rPr>
              <w:tab/>
              <w:t>O Europă mai socială – implementarea Pilonului european al drepturilor sociale.</w:t>
            </w:r>
          </w:p>
          <w:p w14:paraId="202734A1" w14:textId="375C46C7" w:rsidR="00DF278B" w:rsidRPr="009B381E" w:rsidRDefault="00DF278B" w:rsidP="00805594">
            <w:pPr>
              <w:autoSpaceDE w:val="0"/>
              <w:autoSpaceDN w:val="0"/>
              <w:adjustRightInd w:val="0"/>
              <w:ind w:firstLine="317"/>
              <w:jc w:val="both"/>
              <w:rPr>
                <w:lang w:eastAsia="en-GB"/>
              </w:rPr>
            </w:pPr>
            <w:r w:rsidRPr="009B381E">
              <w:rPr>
                <w:lang w:eastAsia="en-GB"/>
              </w:rPr>
              <w:lastRenderedPageBreak/>
              <w:t>5.</w:t>
            </w:r>
            <w:r w:rsidRPr="009B381E">
              <w:rPr>
                <w:lang w:eastAsia="en-GB"/>
              </w:rPr>
              <w:tab/>
              <w:t>O Europă mai aproape de cetățeni – dezvoltarea sustenabilă și integrată a zonelor urbane, rurale și de coastă prin inițiative locale.</w:t>
            </w:r>
            <w:r w:rsidR="00305E5F" w:rsidRPr="009B381E">
              <w:rPr>
                <w:lang w:eastAsia="en-GB"/>
              </w:rPr>
              <w:t xml:space="preserve">  </w:t>
            </w:r>
          </w:p>
          <w:p w14:paraId="130E5E26" w14:textId="7165E6BB" w:rsidR="00107740" w:rsidRDefault="00107740" w:rsidP="00805594">
            <w:pPr>
              <w:autoSpaceDE w:val="0"/>
              <w:autoSpaceDN w:val="0"/>
              <w:adjustRightInd w:val="0"/>
              <w:ind w:firstLine="317"/>
              <w:jc w:val="both"/>
              <w:rPr>
                <w:lang w:eastAsia="en-GB"/>
              </w:rPr>
            </w:pPr>
            <w:r w:rsidRPr="009B381E">
              <w:rPr>
                <w:lang w:eastAsia="en-GB"/>
              </w:rPr>
              <w:t>Programarea fondurilor externe nerambursabile pentru perioada 2021 - 2027 se va finaliza prin încheierea unui Acord de Parteneriat cu Comisia Europeană, precum și prin elaborarea și aprobarea programelor subsecvente pentru perioada 2021-2027.</w:t>
            </w:r>
          </w:p>
          <w:p w14:paraId="28D68334" w14:textId="77777777" w:rsidR="00E21AA1" w:rsidRDefault="00E21AA1" w:rsidP="00E21AA1">
            <w:pPr>
              <w:autoSpaceDE w:val="0"/>
              <w:autoSpaceDN w:val="0"/>
              <w:adjustRightInd w:val="0"/>
              <w:ind w:firstLine="317"/>
              <w:jc w:val="both"/>
              <w:rPr>
                <w:lang w:eastAsia="en-GB"/>
              </w:rPr>
            </w:pPr>
            <w:r w:rsidRPr="009B381E">
              <w:rPr>
                <w:lang w:eastAsia="en-GB"/>
              </w:rPr>
              <w:t>Ministerul Investițiilor și Proiectelor Europene are responsabilitatea coordonării pregătirii, dezvoltării, armonizării și funcționării cadrului legislativ, instituțional, procedural și programatic pentru gestionarea fondurilor externe nerambursabile aferente politicii de coeziune alocate României pentru perioada de programare 2021 – 2027</w:t>
            </w:r>
            <w:r>
              <w:rPr>
                <w:lang w:eastAsia="en-GB"/>
              </w:rPr>
              <w:t>, în conformitate art. 3 din HG nr. 936/2020</w:t>
            </w:r>
            <w:r w:rsidRPr="009B381E">
              <w:rPr>
                <w:lang w:eastAsia="en-GB"/>
              </w:rPr>
              <w:t xml:space="preserve">. </w:t>
            </w:r>
          </w:p>
          <w:p w14:paraId="7C5A6BC6" w14:textId="72B2A090" w:rsidR="00B951FF" w:rsidRPr="009B381E" w:rsidRDefault="00726C86" w:rsidP="00805594">
            <w:pPr>
              <w:autoSpaceDE w:val="0"/>
              <w:autoSpaceDN w:val="0"/>
              <w:adjustRightInd w:val="0"/>
              <w:ind w:firstLine="317"/>
              <w:jc w:val="both"/>
              <w:rPr>
                <w:bCs/>
                <w:lang w:eastAsia="en-GB"/>
              </w:rPr>
            </w:pPr>
            <w:r>
              <w:rPr>
                <w:bCs/>
                <w:lang w:eastAsia="en-GB"/>
              </w:rPr>
              <w:t>Astfel, l</w:t>
            </w:r>
            <w:r w:rsidR="0006409E" w:rsidRPr="009B381E">
              <w:rPr>
                <w:bCs/>
                <w:lang w:eastAsia="en-GB"/>
              </w:rPr>
              <w:t>a nivelul Ministerului Investițiilor și Proiectelor Europene, au fost elaborate</w:t>
            </w:r>
            <w:r w:rsidR="00B951FF" w:rsidRPr="009B381E">
              <w:rPr>
                <w:bCs/>
                <w:lang w:eastAsia="en-GB"/>
              </w:rPr>
              <w:t>,</w:t>
            </w:r>
            <w:r w:rsidR="0006409E" w:rsidRPr="009B381E">
              <w:rPr>
                <w:bCs/>
                <w:lang w:eastAsia="en-GB"/>
              </w:rPr>
              <w:t xml:space="preserve"> </w:t>
            </w:r>
            <w:r w:rsidR="00B951FF" w:rsidRPr="009B381E">
              <w:rPr>
                <w:bCs/>
                <w:lang w:eastAsia="en-GB"/>
              </w:rPr>
              <w:t xml:space="preserve">cu implicarea ministerelor de linie, dar și cu implicarea partenerilor economici și sociali, </w:t>
            </w:r>
            <w:r w:rsidR="00125245" w:rsidRPr="009B381E">
              <w:rPr>
                <w:bCs/>
                <w:lang w:eastAsia="en-GB"/>
              </w:rPr>
              <w:t xml:space="preserve">proiectele de </w:t>
            </w:r>
            <w:r w:rsidR="0006409E" w:rsidRPr="009B381E">
              <w:rPr>
                <w:bCs/>
                <w:lang w:eastAsia="en-GB"/>
              </w:rPr>
              <w:t>Programe Operaționale pentru pe</w:t>
            </w:r>
            <w:r w:rsidR="00125245" w:rsidRPr="009B381E">
              <w:rPr>
                <w:bCs/>
                <w:lang w:eastAsia="en-GB"/>
              </w:rPr>
              <w:t>rioada de programare 2021-2027,</w:t>
            </w:r>
            <w:r w:rsidR="00B951FF" w:rsidRPr="009B381E">
              <w:rPr>
                <w:bCs/>
                <w:lang w:eastAsia="en-GB"/>
              </w:rPr>
              <w:t xml:space="preserve"> respectiv:</w:t>
            </w:r>
          </w:p>
          <w:p w14:paraId="6C847017" w14:textId="39D08054" w:rsidR="000A437E" w:rsidRPr="009B381E" w:rsidRDefault="000A437E" w:rsidP="00805594">
            <w:pPr>
              <w:pStyle w:val="ListParagraph"/>
              <w:numPr>
                <w:ilvl w:val="0"/>
                <w:numId w:val="11"/>
              </w:numPr>
              <w:autoSpaceDE w:val="0"/>
              <w:autoSpaceDN w:val="0"/>
              <w:adjustRightInd w:val="0"/>
              <w:jc w:val="both"/>
              <w:rPr>
                <w:rFonts w:ascii="Times New Roman" w:eastAsia="Times New Roman" w:hAnsi="Times New Roman" w:cs="Times New Roman"/>
                <w:bCs/>
                <w:lang w:eastAsia="en-GB"/>
              </w:rPr>
            </w:pPr>
            <w:r w:rsidRPr="009B381E">
              <w:rPr>
                <w:rFonts w:ascii="Times New Roman" w:eastAsia="Times New Roman" w:hAnsi="Times New Roman" w:cs="Times New Roman"/>
                <w:bCs/>
                <w:lang w:eastAsia="en-GB"/>
              </w:rPr>
              <w:t xml:space="preserve">Programul </w:t>
            </w:r>
            <w:r w:rsidR="00A67E0B" w:rsidRPr="009B381E">
              <w:rPr>
                <w:rFonts w:ascii="Times New Roman" w:eastAsia="Times New Roman" w:hAnsi="Times New Roman" w:cs="Times New Roman"/>
                <w:bCs/>
                <w:lang w:eastAsia="en-GB"/>
              </w:rPr>
              <w:t>Operațional</w:t>
            </w:r>
            <w:r w:rsidRPr="009B381E">
              <w:rPr>
                <w:rFonts w:ascii="Times New Roman" w:eastAsia="Times New Roman" w:hAnsi="Times New Roman" w:cs="Times New Roman"/>
                <w:bCs/>
                <w:lang w:eastAsia="en-GB"/>
              </w:rPr>
              <w:t xml:space="preserve"> Tranziție Justă (POTJ)</w:t>
            </w:r>
          </w:p>
          <w:p w14:paraId="6F036524" w14:textId="77777777" w:rsidR="000A437E" w:rsidRPr="009B381E" w:rsidRDefault="000A437E" w:rsidP="00805594">
            <w:pPr>
              <w:pStyle w:val="ListParagraph"/>
              <w:numPr>
                <w:ilvl w:val="0"/>
                <w:numId w:val="12"/>
              </w:numPr>
              <w:autoSpaceDE w:val="0"/>
              <w:autoSpaceDN w:val="0"/>
              <w:adjustRightInd w:val="0"/>
              <w:jc w:val="both"/>
              <w:rPr>
                <w:rFonts w:ascii="Times New Roman" w:hAnsi="Times New Roman" w:cs="Times New Roman"/>
                <w:bCs/>
                <w:lang w:eastAsia="en-GB"/>
              </w:rPr>
            </w:pPr>
            <w:r w:rsidRPr="009B381E">
              <w:rPr>
                <w:rFonts w:ascii="Times New Roman" w:hAnsi="Times New Roman" w:cs="Times New Roman"/>
                <w:bCs/>
                <w:lang w:eastAsia="en-GB"/>
              </w:rPr>
              <w:t>Programul Operațional Dezvoltare Durabilă (PODD)</w:t>
            </w:r>
          </w:p>
          <w:p w14:paraId="0A50B326" w14:textId="77777777" w:rsidR="000A437E" w:rsidRPr="009B381E" w:rsidRDefault="000A437E" w:rsidP="00805594">
            <w:pPr>
              <w:pStyle w:val="ListParagraph"/>
              <w:numPr>
                <w:ilvl w:val="0"/>
                <w:numId w:val="12"/>
              </w:numPr>
              <w:autoSpaceDE w:val="0"/>
              <w:autoSpaceDN w:val="0"/>
              <w:adjustRightInd w:val="0"/>
              <w:jc w:val="both"/>
              <w:rPr>
                <w:rFonts w:ascii="Times New Roman" w:hAnsi="Times New Roman" w:cs="Times New Roman"/>
                <w:bCs/>
                <w:lang w:eastAsia="en-GB"/>
              </w:rPr>
            </w:pPr>
            <w:r w:rsidRPr="009B381E">
              <w:rPr>
                <w:rFonts w:ascii="Times New Roman" w:hAnsi="Times New Roman" w:cs="Times New Roman"/>
                <w:bCs/>
                <w:lang w:eastAsia="en-GB"/>
              </w:rPr>
              <w:t>Programul Operațional Transport (POT)</w:t>
            </w:r>
          </w:p>
          <w:p w14:paraId="5F24CE51" w14:textId="77777777" w:rsidR="000A437E" w:rsidRPr="009B381E" w:rsidRDefault="000A437E" w:rsidP="00805594">
            <w:pPr>
              <w:pStyle w:val="ListParagraph"/>
              <w:numPr>
                <w:ilvl w:val="0"/>
                <w:numId w:val="12"/>
              </w:numPr>
              <w:autoSpaceDE w:val="0"/>
              <w:autoSpaceDN w:val="0"/>
              <w:adjustRightInd w:val="0"/>
              <w:jc w:val="both"/>
              <w:rPr>
                <w:rFonts w:ascii="Times New Roman" w:hAnsi="Times New Roman" w:cs="Times New Roman"/>
                <w:bCs/>
                <w:lang w:eastAsia="en-GB"/>
              </w:rPr>
            </w:pPr>
            <w:r w:rsidRPr="009B381E">
              <w:rPr>
                <w:rFonts w:ascii="Times New Roman" w:hAnsi="Times New Roman" w:cs="Times New Roman"/>
                <w:bCs/>
                <w:lang w:eastAsia="en-GB"/>
              </w:rPr>
              <w:t>Programului Operațional Creștere Inteligentă, Digitalizare și Instrumente Financiare (POCIDIF)</w:t>
            </w:r>
          </w:p>
          <w:p w14:paraId="5A5CB097" w14:textId="77777777" w:rsidR="000A437E" w:rsidRPr="009B381E" w:rsidRDefault="000A437E" w:rsidP="00805594">
            <w:pPr>
              <w:pStyle w:val="ListParagraph"/>
              <w:numPr>
                <w:ilvl w:val="0"/>
                <w:numId w:val="12"/>
              </w:numPr>
              <w:autoSpaceDE w:val="0"/>
              <w:autoSpaceDN w:val="0"/>
              <w:adjustRightInd w:val="0"/>
              <w:jc w:val="both"/>
              <w:rPr>
                <w:rFonts w:ascii="Times New Roman" w:hAnsi="Times New Roman" w:cs="Times New Roman"/>
                <w:bCs/>
                <w:lang w:eastAsia="en-GB"/>
              </w:rPr>
            </w:pPr>
            <w:r w:rsidRPr="009B381E">
              <w:rPr>
                <w:rFonts w:ascii="Times New Roman" w:hAnsi="Times New Roman" w:cs="Times New Roman"/>
                <w:bCs/>
                <w:lang w:eastAsia="en-GB"/>
              </w:rPr>
              <w:t>Programul Operațional Sănătate (POS)</w:t>
            </w:r>
          </w:p>
          <w:p w14:paraId="46713C9B" w14:textId="77777777" w:rsidR="000A437E" w:rsidRPr="009B381E" w:rsidRDefault="000A437E" w:rsidP="00805594">
            <w:pPr>
              <w:pStyle w:val="ListParagraph"/>
              <w:numPr>
                <w:ilvl w:val="0"/>
                <w:numId w:val="12"/>
              </w:numPr>
              <w:autoSpaceDE w:val="0"/>
              <w:autoSpaceDN w:val="0"/>
              <w:adjustRightInd w:val="0"/>
              <w:jc w:val="both"/>
              <w:rPr>
                <w:rFonts w:ascii="Times New Roman" w:hAnsi="Times New Roman" w:cs="Times New Roman"/>
                <w:bCs/>
                <w:lang w:eastAsia="en-GB"/>
              </w:rPr>
            </w:pPr>
            <w:r w:rsidRPr="009B381E">
              <w:rPr>
                <w:rFonts w:ascii="Times New Roman" w:hAnsi="Times New Roman" w:cs="Times New Roman"/>
                <w:bCs/>
                <w:lang w:eastAsia="en-GB"/>
              </w:rPr>
              <w:t>Programul Operațional Educație și Ocupare (POEO)</w:t>
            </w:r>
          </w:p>
          <w:p w14:paraId="4568BA64" w14:textId="0B079D6F" w:rsidR="000A437E" w:rsidRPr="009B381E" w:rsidRDefault="000A437E" w:rsidP="00805594">
            <w:pPr>
              <w:pStyle w:val="ListParagraph"/>
              <w:numPr>
                <w:ilvl w:val="0"/>
                <w:numId w:val="12"/>
              </w:numPr>
              <w:autoSpaceDE w:val="0"/>
              <w:autoSpaceDN w:val="0"/>
              <w:adjustRightInd w:val="0"/>
              <w:jc w:val="both"/>
              <w:rPr>
                <w:rFonts w:ascii="Times New Roman" w:hAnsi="Times New Roman" w:cs="Times New Roman"/>
                <w:bCs/>
                <w:lang w:eastAsia="en-GB"/>
              </w:rPr>
            </w:pPr>
            <w:r w:rsidRPr="009B381E">
              <w:rPr>
                <w:rFonts w:ascii="Times New Roman" w:hAnsi="Times New Roman" w:cs="Times New Roman"/>
                <w:bCs/>
                <w:lang w:eastAsia="en-GB"/>
              </w:rPr>
              <w:t xml:space="preserve">Programul </w:t>
            </w:r>
            <w:r w:rsidR="00A67E0B" w:rsidRPr="009B381E">
              <w:rPr>
                <w:rFonts w:ascii="Times New Roman" w:hAnsi="Times New Roman" w:cs="Times New Roman"/>
                <w:bCs/>
                <w:lang w:eastAsia="en-GB"/>
              </w:rPr>
              <w:t>Operațional</w:t>
            </w:r>
            <w:r w:rsidRPr="009B381E">
              <w:rPr>
                <w:rFonts w:ascii="Times New Roman" w:hAnsi="Times New Roman" w:cs="Times New Roman"/>
                <w:bCs/>
                <w:lang w:eastAsia="en-GB"/>
              </w:rPr>
              <w:t xml:space="preserve"> Incluziune și Demnitate Socială (POIDS)</w:t>
            </w:r>
          </w:p>
          <w:p w14:paraId="6368E7C2" w14:textId="5F88E184" w:rsidR="000A437E" w:rsidRPr="009B381E" w:rsidRDefault="000A437E" w:rsidP="00805594">
            <w:pPr>
              <w:pStyle w:val="ListParagraph"/>
              <w:numPr>
                <w:ilvl w:val="0"/>
                <w:numId w:val="12"/>
              </w:numPr>
              <w:autoSpaceDE w:val="0"/>
              <w:autoSpaceDN w:val="0"/>
              <w:adjustRightInd w:val="0"/>
              <w:jc w:val="both"/>
              <w:rPr>
                <w:rFonts w:ascii="Times New Roman" w:hAnsi="Times New Roman" w:cs="Times New Roman"/>
                <w:bCs/>
                <w:lang w:eastAsia="en-GB"/>
              </w:rPr>
            </w:pPr>
            <w:r w:rsidRPr="009B381E">
              <w:rPr>
                <w:rFonts w:ascii="Times New Roman" w:hAnsi="Times New Roman" w:cs="Times New Roman"/>
                <w:bCs/>
                <w:lang w:eastAsia="en-GB"/>
              </w:rPr>
              <w:t xml:space="preserve">Programe </w:t>
            </w:r>
            <w:r w:rsidR="00085613" w:rsidRPr="009B381E">
              <w:rPr>
                <w:rFonts w:ascii="Times New Roman" w:hAnsi="Times New Roman" w:cs="Times New Roman"/>
                <w:bCs/>
                <w:lang w:eastAsia="en-GB"/>
              </w:rPr>
              <w:t>Operaționale</w:t>
            </w:r>
            <w:r w:rsidRPr="009B381E">
              <w:rPr>
                <w:rFonts w:ascii="Times New Roman" w:hAnsi="Times New Roman" w:cs="Times New Roman"/>
                <w:bCs/>
                <w:lang w:eastAsia="en-GB"/>
              </w:rPr>
              <w:t xml:space="preserve"> Regionale</w:t>
            </w:r>
          </w:p>
          <w:p w14:paraId="40DBCF1E" w14:textId="685E17C6" w:rsidR="0006409E" w:rsidRPr="009B381E" w:rsidRDefault="000A437E" w:rsidP="00805594">
            <w:pPr>
              <w:pStyle w:val="ListParagraph"/>
              <w:numPr>
                <w:ilvl w:val="0"/>
                <w:numId w:val="12"/>
              </w:numPr>
              <w:autoSpaceDE w:val="0"/>
              <w:autoSpaceDN w:val="0"/>
              <w:adjustRightInd w:val="0"/>
              <w:jc w:val="both"/>
              <w:rPr>
                <w:rFonts w:ascii="Times New Roman" w:hAnsi="Times New Roman" w:cs="Times New Roman"/>
                <w:bCs/>
                <w:lang w:eastAsia="en-GB"/>
              </w:rPr>
            </w:pPr>
            <w:r w:rsidRPr="009B381E">
              <w:rPr>
                <w:rFonts w:ascii="Times New Roman" w:hAnsi="Times New Roman" w:cs="Times New Roman"/>
                <w:bCs/>
                <w:lang w:eastAsia="en-GB"/>
              </w:rPr>
              <w:t>Programul Operațional Asistență Tehnică</w:t>
            </w:r>
            <w:r w:rsidR="0006409E" w:rsidRPr="009B381E">
              <w:rPr>
                <w:rFonts w:ascii="Times New Roman" w:hAnsi="Times New Roman" w:cs="Times New Roman"/>
                <w:bCs/>
                <w:lang w:eastAsia="en-GB"/>
              </w:rPr>
              <w:t xml:space="preserve"> </w:t>
            </w:r>
          </w:p>
          <w:p w14:paraId="1995DFC5" w14:textId="3F4A6EDB" w:rsidR="008C2751" w:rsidRPr="009B381E" w:rsidRDefault="00125245" w:rsidP="00805594">
            <w:pPr>
              <w:autoSpaceDE w:val="0"/>
              <w:autoSpaceDN w:val="0"/>
              <w:adjustRightInd w:val="0"/>
              <w:ind w:firstLine="317"/>
              <w:jc w:val="both"/>
              <w:rPr>
                <w:lang w:eastAsia="en-GB"/>
              </w:rPr>
            </w:pPr>
            <w:r w:rsidRPr="009B381E">
              <w:rPr>
                <w:lang w:eastAsia="en-GB"/>
              </w:rPr>
              <w:t>Î</w:t>
            </w:r>
            <w:r w:rsidR="0006409E" w:rsidRPr="009B381E">
              <w:rPr>
                <w:lang w:eastAsia="en-GB"/>
              </w:rPr>
              <w:t>n prezent</w:t>
            </w:r>
            <w:r w:rsidR="009325CC">
              <w:rPr>
                <w:lang w:eastAsia="en-GB"/>
              </w:rPr>
              <w:t>,</w:t>
            </w:r>
            <w:r w:rsidR="0006409E" w:rsidRPr="009B381E">
              <w:rPr>
                <w:lang w:eastAsia="en-GB"/>
              </w:rPr>
              <w:t xml:space="preserve"> </w:t>
            </w:r>
            <w:r w:rsidR="008E534F" w:rsidRPr="009B381E">
              <w:rPr>
                <w:lang w:eastAsia="en-GB"/>
              </w:rPr>
              <w:t>continuă</w:t>
            </w:r>
            <w:r w:rsidRPr="009B381E">
              <w:rPr>
                <w:lang w:eastAsia="en-GB"/>
              </w:rPr>
              <w:t xml:space="preserve"> deru</w:t>
            </w:r>
            <w:r w:rsidR="008E534F" w:rsidRPr="009B381E">
              <w:rPr>
                <w:lang w:eastAsia="en-GB"/>
              </w:rPr>
              <w:t>larea</w:t>
            </w:r>
            <w:r w:rsidR="0006409E" w:rsidRPr="009B381E">
              <w:rPr>
                <w:lang w:eastAsia="en-GB"/>
              </w:rPr>
              <w:t xml:space="preserve"> runde</w:t>
            </w:r>
            <w:r w:rsidR="008E534F" w:rsidRPr="009B381E">
              <w:rPr>
                <w:lang w:eastAsia="en-GB"/>
              </w:rPr>
              <w:t>lor</w:t>
            </w:r>
            <w:r w:rsidR="0006409E" w:rsidRPr="009B381E">
              <w:rPr>
                <w:lang w:eastAsia="en-GB"/>
              </w:rPr>
              <w:t xml:space="preserve"> de negocieri în cadrul dialogului informal între autorităț</w:t>
            </w:r>
            <w:r w:rsidR="00115131" w:rsidRPr="009B381E">
              <w:rPr>
                <w:lang w:eastAsia="en-GB"/>
              </w:rPr>
              <w:t xml:space="preserve">ile române </w:t>
            </w:r>
            <w:r w:rsidR="00085613" w:rsidRPr="009B381E">
              <w:rPr>
                <w:lang w:eastAsia="en-GB"/>
              </w:rPr>
              <w:t>și</w:t>
            </w:r>
            <w:r w:rsidR="00115131" w:rsidRPr="009B381E">
              <w:rPr>
                <w:lang w:eastAsia="en-GB"/>
              </w:rPr>
              <w:t xml:space="preserve"> Comisia Europeană, în vederea aprobării acestora.</w:t>
            </w:r>
          </w:p>
          <w:p w14:paraId="6AD75475" w14:textId="77803A1D" w:rsidR="00305E5F" w:rsidRDefault="00305E5F" w:rsidP="00805594">
            <w:pPr>
              <w:autoSpaceDE w:val="0"/>
              <w:autoSpaceDN w:val="0"/>
              <w:adjustRightInd w:val="0"/>
              <w:ind w:firstLine="317"/>
              <w:jc w:val="both"/>
              <w:rPr>
                <w:lang w:eastAsia="en-GB"/>
              </w:rPr>
            </w:pPr>
            <w:r w:rsidRPr="009B381E">
              <w:rPr>
                <w:lang w:eastAsia="en-GB"/>
              </w:rPr>
              <w:t xml:space="preserve">În conformitate cu principiul și normele gestiunii partajate, statele membre au responsabilitatea principală pentru managementul și controlul asistenței financiare nerambursabile din partea Uniunii Europene, iar pachetul legislativ </w:t>
            </w:r>
            <w:r w:rsidR="00481A82" w:rsidRPr="009B381E">
              <w:rPr>
                <w:lang w:eastAsia="en-GB"/>
              </w:rPr>
              <w:t>adoptat</w:t>
            </w:r>
            <w:r w:rsidRPr="009B381E">
              <w:rPr>
                <w:lang w:eastAsia="en-GB"/>
              </w:rPr>
              <w:t xml:space="preserve"> în acest sens pentru implementarea fondurilor </w:t>
            </w:r>
            <w:r w:rsidRPr="009B381E">
              <w:t>externe nerambursabile</w:t>
            </w:r>
            <w:r w:rsidRPr="009B381E" w:rsidDel="001275A6">
              <w:rPr>
                <w:lang w:eastAsia="en-GB"/>
              </w:rPr>
              <w:t xml:space="preserve"> </w:t>
            </w:r>
            <w:r w:rsidRPr="009B381E">
              <w:rPr>
                <w:lang w:eastAsia="en-GB"/>
              </w:rPr>
              <w:t xml:space="preserve"> 2021-2027 în gestiune partajată, cuprinde o serie de reglementări care impun statelor membre </w:t>
            </w:r>
            <w:r w:rsidR="00481A82" w:rsidRPr="009B381E">
              <w:rPr>
                <w:lang w:eastAsia="en-GB"/>
              </w:rPr>
              <w:t xml:space="preserve">adoptarea cadrului legislativ național care reglementează gestionarea financiară a proiectelor finanțate din fonduri europene. </w:t>
            </w:r>
          </w:p>
          <w:p w14:paraId="38E51E27" w14:textId="309BD0F2" w:rsidR="000D6EEC" w:rsidRDefault="000D6EEC" w:rsidP="00805594">
            <w:pPr>
              <w:autoSpaceDE w:val="0"/>
              <w:autoSpaceDN w:val="0"/>
              <w:adjustRightInd w:val="0"/>
              <w:ind w:firstLine="317"/>
              <w:jc w:val="both"/>
              <w:rPr>
                <w:lang w:eastAsia="en-GB"/>
              </w:rPr>
            </w:pPr>
            <w:r>
              <w:rPr>
                <w:lang w:eastAsia="en-GB"/>
              </w:rPr>
              <w:t xml:space="preserve">În decembrie 2021, s-a adoptat OUG nr. 133/2021 </w:t>
            </w:r>
            <w:r w:rsidRPr="000D6EEC">
              <w:rPr>
                <w:lang w:eastAsia="en-GB"/>
              </w:rPr>
              <w:t>privind gestionarea financiară a fondurilor europene pentru perioada de programare 2021-2027 alocate României din Fondul european de dezvoltare regională, Fondul de coeziune, Fondul social european Plus, Fondul pentru o tranziție justă</w:t>
            </w:r>
            <w:r>
              <w:rPr>
                <w:lang w:eastAsia="en-GB"/>
              </w:rPr>
              <w:t xml:space="preserve">, care stabilește </w:t>
            </w:r>
            <w:r w:rsidRPr="000D6EEC">
              <w:rPr>
                <w:lang w:eastAsia="en-GB"/>
              </w:rPr>
              <w:t>fluxurile financiare pentru gestionarea fondurilor europene alocate României pentru perioada de programare 2021-2027</w:t>
            </w:r>
            <w:r>
              <w:rPr>
                <w:lang w:eastAsia="en-GB"/>
              </w:rPr>
              <w:t>.</w:t>
            </w:r>
          </w:p>
          <w:p w14:paraId="45862F79" w14:textId="5572B350" w:rsidR="006F7D98" w:rsidRPr="009B381E" w:rsidRDefault="00E72C79" w:rsidP="00BB24F5">
            <w:pPr>
              <w:autoSpaceDE w:val="0"/>
              <w:autoSpaceDN w:val="0"/>
              <w:adjustRightInd w:val="0"/>
              <w:jc w:val="both"/>
              <w:rPr>
                <w:bCs/>
                <w:lang w:eastAsia="ro-RO"/>
              </w:rPr>
            </w:pPr>
            <w:r>
              <w:rPr>
                <w:lang w:eastAsia="en-GB"/>
              </w:rPr>
              <w:t xml:space="preserve">În acest context, </w:t>
            </w:r>
            <w:r>
              <w:rPr>
                <w:noProof/>
              </w:rPr>
              <w:t>în conformitate cu prevederile</w:t>
            </w:r>
            <w:r w:rsidR="00E666D3">
              <w:rPr>
                <w:noProof/>
              </w:rPr>
              <w:t xml:space="preserve"> art. 63 alin. (1) din</w:t>
            </w:r>
            <w:r>
              <w:rPr>
                <w:noProof/>
              </w:rPr>
              <w:t xml:space="preserve"> </w:t>
            </w:r>
            <w:r w:rsidRPr="00097EBF">
              <w:rPr>
                <w:noProof/>
              </w:rPr>
              <w:t xml:space="preserve">Regulamentul (UE) </w:t>
            </w:r>
            <w:r>
              <w:rPr>
                <w:noProof/>
              </w:rPr>
              <w:t>2021</w:t>
            </w:r>
            <w:r w:rsidR="00E666D3">
              <w:rPr>
                <w:noProof/>
              </w:rPr>
              <w:t>/1060</w:t>
            </w:r>
            <w:r>
              <w:rPr>
                <w:noProof/>
              </w:rPr>
              <w:t>,</w:t>
            </w:r>
            <w:r w:rsidR="00E666D3">
              <w:rPr>
                <w:noProof/>
              </w:rPr>
              <w:t xml:space="preserve"> conform căruia </w:t>
            </w:r>
            <w:r w:rsidRPr="00097EBF">
              <w:rPr>
                <w:noProof/>
              </w:rPr>
              <w:t>regulile de eligibilitate a cheltuielilor s</w:t>
            </w:r>
            <w:r w:rsidR="00E666D3">
              <w:rPr>
                <w:noProof/>
              </w:rPr>
              <w:t xml:space="preserve">unt </w:t>
            </w:r>
            <w:r w:rsidRPr="00097EBF">
              <w:rPr>
                <w:noProof/>
              </w:rPr>
              <w:t>stabilite p</w:t>
            </w:r>
            <w:r w:rsidR="00E666D3">
              <w:rPr>
                <w:noProof/>
              </w:rPr>
              <w:t xml:space="preserve">rin </w:t>
            </w:r>
            <w:r w:rsidRPr="00097EBF">
              <w:rPr>
                <w:noProof/>
              </w:rPr>
              <w:t>norme naționale,</w:t>
            </w:r>
            <w:r w:rsidR="00A020B3">
              <w:rPr>
                <w:noProof/>
              </w:rPr>
              <w:t xml:space="preserve"> cu excepția cazurilor în care există norme specifice stabilite prin regulamente europene,</w:t>
            </w:r>
            <w:r w:rsidR="00DD4F45">
              <w:rPr>
                <w:noProof/>
              </w:rPr>
              <w:t xml:space="preserve"> prezentul </w:t>
            </w:r>
            <w:r>
              <w:rPr>
                <w:lang w:eastAsia="en-GB"/>
              </w:rPr>
              <w:t xml:space="preserve">actul normativ stabilește cadrul legal privind eligibilitatea cheltuielilor efectuate în cadrul </w:t>
            </w:r>
            <w:r w:rsidR="009D6BC9">
              <w:rPr>
                <w:lang w:eastAsia="en-GB"/>
              </w:rPr>
              <w:t>operațiunilor</w:t>
            </w:r>
            <w:r>
              <w:rPr>
                <w:lang w:eastAsia="en-GB"/>
              </w:rPr>
              <w:t xml:space="preserve"> </w:t>
            </w:r>
            <w:r w:rsidR="009D6BC9">
              <w:rPr>
                <w:lang w:eastAsia="en-GB"/>
              </w:rPr>
              <w:t>finanțate</w:t>
            </w:r>
            <w:r w:rsidR="00BB24F5">
              <w:rPr>
                <w:lang w:eastAsia="en-GB"/>
              </w:rPr>
              <w:t xml:space="preserve"> în perioada de programare 2021-2027</w:t>
            </w:r>
            <w:r>
              <w:rPr>
                <w:lang w:eastAsia="en-GB"/>
              </w:rPr>
              <w:t xml:space="preserve"> prin Fondul european de dezvoltare regională, Fondul social european plus, Fondul de coeziune, Fondul pentru o tranziție justă </w:t>
            </w:r>
            <w:r w:rsidR="00607C2B">
              <w:rPr>
                <w:lang w:eastAsia="en-GB"/>
              </w:rPr>
              <w:t>și</w:t>
            </w:r>
            <w:r>
              <w:rPr>
                <w:lang w:eastAsia="en-GB"/>
              </w:rPr>
              <w:t xml:space="preserve"> din </w:t>
            </w:r>
            <w:r w:rsidR="00607C2B">
              <w:rPr>
                <w:lang w:eastAsia="en-GB"/>
              </w:rPr>
              <w:t>cofinanțarea</w:t>
            </w:r>
            <w:r>
              <w:rPr>
                <w:lang w:eastAsia="en-GB"/>
              </w:rPr>
              <w:t xml:space="preserve"> </w:t>
            </w:r>
            <w:r w:rsidR="00607C2B">
              <w:rPr>
                <w:lang w:eastAsia="en-GB"/>
              </w:rPr>
              <w:t>națională</w:t>
            </w:r>
            <w:r w:rsidR="00DD4F45">
              <w:rPr>
                <w:lang w:eastAsia="en-GB"/>
              </w:rPr>
              <w:t xml:space="preserve">. </w:t>
            </w:r>
            <w:r>
              <w:rPr>
                <w:lang w:eastAsia="en-GB"/>
              </w:rPr>
              <w:t xml:space="preserve"> </w:t>
            </w:r>
          </w:p>
        </w:tc>
      </w:tr>
      <w:tr w:rsidR="009F22AF" w:rsidRPr="009B381E" w14:paraId="63A0FC7D" w14:textId="77777777" w:rsidTr="00EA0275">
        <w:tc>
          <w:tcPr>
            <w:tcW w:w="2259" w:type="dxa"/>
          </w:tcPr>
          <w:p w14:paraId="4DA13CEC" w14:textId="2FCCA9D3" w:rsidR="009F22AF" w:rsidRPr="009B381E" w:rsidRDefault="009F22AF" w:rsidP="00A70147">
            <w:pPr>
              <w:jc w:val="both"/>
              <w:rPr>
                <w:lang w:eastAsia="ro-RO"/>
              </w:rPr>
            </w:pPr>
            <w:r w:rsidRPr="009B381E">
              <w:rPr>
                <w:lang w:eastAsia="ro-RO"/>
              </w:rPr>
              <w:lastRenderedPageBreak/>
              <w:t>1</w:t>
            </w:r>
            <w:r w:rsidRPr="009B381E">
              <w:rPr>
                <w:vertAlign w:val="superscript"/>
                <w:lang w:eastAsia="ro-RO"/>
              </w:rPr>
              <w:t>1</w:t>
            </w:r>
            <w:r w:rsidRPr="009B381E">
              <w:rPr>
                <w:lang w:eastAsia="ro-RO"/>
              </w:rPr>
              <w:t xml:space="preserve"> În cazul proiectelor de acte </w:t>
            </w:r>
            <w:r w:rsidRPr="009B381E">
              <w:rPr>
                <w:lang w:eastAsia="ro-RO"/>
              </w:rPr>
              <w:lastRenderedPageBreak/>
              <w:t xml:space="preserve">normative care transpun </w:t>
            </w:r>
            <w:r w:rsidR="00C5468F" w:rsidRPr="009B381E">
              <w:rPr>
                <w:lang w:eastAsia="ro-RO"/>
              </w:rPr>
              <w:t>legislație</w:t>
            </w:r>
            <w:r w:rsidRPr="009B381E">
              <w:rPr>
                <w:lang w:eastAsia="ro-RO"/>
              </w:rPr>
              <w:t xml:space="preserve"> comunitară sau creează cadrul pentru aplicarea directă a acesteia, se vor specifica doar actele comunitare în cauză, </w:t>
            </w:r>
            <w:r w:rsidR="00C5468F" w:rsidRPr="009B381E">
              <w:rPr>
                <w:lang w:eastAsia="ro-RO"/>
              </w:rPr>
              <w:t>însoțite</w:t>
            </w:r>
            <w:r w:rsidRPr="009B381E">
              <w:rPr>
                <w:lang w:eastAsia="ro-RO"/>
              </w:rPr>
              <w:t xml:space="preserve"> de elementel</w:t>
            </w:r>
            <w:r w:rsidR="00060E2F" w:rsidRPr="009B381E">
              <w:rPr>
                <w:lang w:eastAsia="ro-RO"/>
              </w:rPr>
              <w:t>e de identificare ale acestora.</w:t>
            </w:r>
          </w:p>
        </w:tc>
        <w:tc>
          <w:tcPr>
            <w:tcW w:w="7938" w:type="dxa"/>
          </w:tcPr>
          <w:p w14:paraId="3DAAFC61" w14:textId="1E3E1EB4" w:rsidR="009F22AF" w:rsidRPr="009B381E" w:rsidRDefault="009F22AF" w:rsidP="00805594">
            <w:pPr>
              <w:jc w:val="both"/>
            </w:pPr>
            <w:r w:rsidRPr="009B381E">
              <w:lastRenderedPageBreak/>
              <w:t>Proiectul de act normativ nu se referă la acest subiect.</w:t>
            </w:r>
          </w:p>
        </w:tc>
      </w:tr>
      <w:tr w:rsidR="00520BE3" w:rsidRPr="009B381E" w14:paraId="5E9CE6CD" w14:textId="77777777" w:rsidTr="00EA0275">
        <w:trPr>
          <w:trHeight w:val="983"/>
        </w:trPr>
        <w:tc>
          <w:tcPr>
            <w:tcW w:w="2259" w:type="dxa"/>
          </w:tcPr>
          <w:p w14:paraId="78E5EC29" w14:textId="77777777" w:rsidR="00670C79" w:rsidRPr="009B381E" w:rsidRDefault="00670C79" w:rsidP="00A70147">
            <w:pPr>
              <w:spacing w:after="120"/>
              <w:jc w:val="both"/>
              <w:rPr>
                <w:lang w:eastAsia="ro-RO"/>
              </w:rPr>
            </w:pPr>
            <w:r w:rsidRPr="009B381E">
              <w:rPr>
                <w:lang w:eastAsia="ro-RO"/>
              </w:rPr>
              <w:t>2.Schimbări preconizate</w:t>
            </w:r>
          </w:p>
        </w:tc>
        <w:tc>
          <w:tcPr>
            <w:tcW w:w="7938" w:type="dxa"/>
          </w:tcPr>
          <w:p w14:paraId="5DE47601" w14:textId="42786AFB" w:rsidR="00470D87" w:rsidRDefault="00E90805" w:rsidP="006A1C64">
            <w:pPr>
              <w:jc w:val="both"/>
              <w:rPr>
                <w:lang w:eastAsia="en-GB"/>
              </w:rPr>
            </w:pPr>
            <w:r>
              <w:rPr>
                <w:lang w:eastAsia="ro-RO"/>
              </w:rPr>
              <w:t xml:space="preserve">     </w:t>
            </w:r>
            <w:r w:rsidR="001A0AEA" w:rsidRPr="009B381E">
              <w:rPr>
                <w:lang w:eastAsia="ro-RO"/>
              </w:rPr>
              <w:t xml:space="preserve">Prin promovarea prezentului act normativ se </w:t>
            </w:r>
            <w:r w:rsidR="00820231" w:rsidRPr="009B381E">
              <w:rPr>
                <w:lang w:eastAsia="ro-RO"/>
              </w:rPr>
              <w:t>urmărește</w:t>
            </w:r>
            <w:r w:rsidR="001A0AEA" w:rsidRPr="009B381E">
              <w:rPr>
                <w:lang w:eastAsia="ro-RO"/>
              </w:rPr>
              <w:t xml:space="preserve"> stabilirea </w:t>
            </w:r>
            <w:r w:rsidR="00470D87" w:rsidRPr="00885808">
              <w:t>cadrului legal privind eligibilitatea cheltuielilor efectuate</w:t>
            </w:r>
            <w:r w:rsidR="006A1C64">
              <w:t xml:space="preserve"> de către beneficiari</w:t>
            </w:r>
            <w:r w:rsidR="00470D87" w:rsidRPr="00885808">
              <w:t xml:space="preserve"> în cadrul </w:t>
            </w:r>
            <w:r w:rsidR="00820231" w:rsidRPr="00885808">
              <w:t>operațiunilor</w:t>
            </w:r>
            <w:r w:rsidR="00470D87" w:rsidRPr="00885808">
              <w:t xml:space="preserve"> </w:t>
            </w:r>
            <w:r w:rsidR="00820231" w:rsidRPr="00885808">
              <w:t>finanțate</w:t>
            </w:r>
            <w:r w:rsidR="00470D87" w:rsidRPr="00885808">
              <w:t xml:space="preserve"> prin </w:t>
            </w:r>
            <w:r w:rsidR="00470D87" w:rsidRPr="001D78FD">
              <w:t>Fondul european de dezvoltare regională, Fondul social european plus, Fondul de coeziune și Fondul pentru</w:t>
            </w:r>
            <w:r w:rsidR="00786756">
              <w:t xml:space="preserve"> o</w:t>
            </w:r>
            <w:r w:rsidR="00470D87" w:rsidRPr="001D78FD">
              <w:t xml:space="preserve"> tranziție justă</w:t>
            </w:r>
            <w:r w:rsidR="00E21AA1">
              <w:t>, pentru perioada de programare</w:t>
            </w:r>
            <w:r w:rsidR="00470D87" w:rsidRPr="001D78FD">
              <w:t xml:space="preserve"> 2021-2027</w:t>
            </w:r>
            <w:r w:rsidR="00470D87">
              <w:t xml:space="preserve"> </w:t>
            </w:r>
            <w:r w:rsidR="00820231" w:rsidRPr="00885808">
              <w:t>și</w:t>
            </w:r>
            <w:r w:rsidR="00470D87" w:rsidRPr="00885808">
              <w:t xml:space="preserve"> din </w:t>
            </w:r>
            <w:r w:rsidR="00820231" w:rsidRPr="00885808">
              <w:t>cofinanțarea</w:t>
            </w:r>
            <w:r w:rsidR="00470D87" w:rsidRPr="00885808">
              <w:t xml:space="preserve"> </w:t>
            </w:r>
            <w:r w:rsidR="00820231" w:rsidRPr="00885808">
              <w:t>națională</w:t>
            </w:r>
            <w:r w:rsidR="00470D87">
              <w:rPr>
                <w:lang w:eastAsia="ro-RO"/>
              </w:rPr>
              <w:t>, î</w:t>
            </w:r>
            <w:r w:rsidR="00470D87">
              <w:rPr>
                <w:lang w:eastAsia="en-GB"/>
              </w:rPr>
              <w:t xml:space="preserve">n conformitate cu prevederile </w:t>
            </w:r>
            <w:r w:rsidR="00820231">
              <w:rPr>
                <w:lang w:eastAsia="en-GB"/>
              </w:rPr>
              <w:t xml:space="preserve">art. 63 alin. (1) din </w:t>
            </w:r>
            <w:r w:rsidR="00470D87">
              <w:rPr>
                <w:lang w:eastAsia="en-GB"/>
              </w:rPr>
              <w:t xml:space="preserve">Regulamentul (UE) </w:t>
            </w:r>
            <w:r w:rsidR="004E74DD">
              <w:rPr>
                <w:lang w:eastAsia="en-GB"/>
              </w:rPr>
              <w:t>2021/1060.</w:t>
            </w:r>
          </w:p>
          <w:p w14:paraId="11E53196" w14:textId="2698A0A1" w:rsidR="00C862F6" w:rsidRDefault="002C62AA" w:rsidP="002C62AA">
            <w:pPr>
              <w:autoSpaceDE w:val="0"/>
              <w:autoSpaceDN w:val="0"/>
              <w:adjustRightInd w:val="0"/>
              <w:ind w:firstLine="317"/>
              <w:jc w:val="both"/>
              <w:rPr>
                <w:lang w:eastAsia="en-GB"/>
              </w:rPr>
            </w:pPr>
            <w:r w:rsidRPr="00E72C79">
              <w:rPr>
                <w:lang w:eastAsia="en-GB"/>
              </w:rPr>
              <w:t xml:space="preserve">Pentru interpretare unitară și înțelegere corectă, termenii utilizați în cadrul actului normativ </w:t>
            </w:r>
            <w:r>
              <w:rPr>
                <w:lang w:eastAsia="en-GB"/>
              </w:rPr>
              <w:t>au înțelesul prevăzut în R</w:t>
            </w:r>
            <w:r w:rsidRPr="00E72C79">
              <w:rPr>
                <w:lang w:eastAsia="en-GB"/>
              </w:rPr>
              <w:t xml:space="preserve">egulamentul </w:t>
            </w:r>
            <w:r>
              <w:rPr>
                <w:lang w:eastAsia="en-GB"/>
              </w:rPr>
              <w:t>(</w:t>
            </w:r>
            <w:r w:rsidRPr="00E72C79">
              <w:rPr>
                <w:lang w:eastAsia="en-GB"/>
              </w:rPr>
              <w:t>UE</w:t>
            </w:r>
            <w:r>
              <w:rPr>
                <w:lang w:eastAsia="en-GB"/>
              </w:rPr>
              <w:t>)</w:t>
            </w:r>
            <w:r w:rsidRPr="00E72C79">
              <w:rPr>
                <w:lang w:eastAsia="en-GB"/>
              </w:rPr>
              <w:t xml:space="preserve"> 2021</w:t>
            </w:r>
            <w:r>
              <w:rPr>
                <w:lang w:eastAsia="en-GB"/>
              </w:rPr>
              <w:t>/1060</w:t>
            </w:r>
            <w:r w:rsidRPr="00E72C79">
              <w:rPr>
                <w:lang w:eastAsia="en-GB"/>
              </w:rPr>
              <w:t xml:space="preserve"> </w:t>
            </w:r>
            <w:r>
              <w:rPr>
                <w:lang w:eastAsia="en-GB"/>
              </w:rPr>
              <w:t xml:space="preserve">de stabilire a dispozițiilor comune sau în </w:t>
            </w:r>
            <w:r w:rsidRPr="00E72C79">
              <w:rPr>
                <w:lang w:eastAsia="en-GB"/>
              </w:rPr>
              <w:t xml:space="preserve">legislația </w:t>
            </w:r>
            <w:r>
              <w:rPr>
                <w:lang w:eastAsia="en-GB"/>
              </w:rPr>
              <w:t>națională</w:t>
            </w:r>
            <w:r w:rsidRPr="00E72C79">
              <w:rPr>
                <w:lang w:eastAsia="en-GB"/>
              </w:rPr>
              <w:t xml:space="preserve"> privind gestionarea financiară a fondurilor europene pentru perioada de programare 2021-2027</w:t>
            </w:r>
            <w:r w:rsidR="00C862F6">
              <w:rPr>
                <w:lang w:eastAsia="en-GB"/>
              </w:rPr>
              <w:t>.</w:t>
            </w:r>
          </w:p>
          <w:p w14:paraId="7115DC32" w14:textId="7CD22CD3" w:rsidR="00C862F6" w:rsidRDefault="0088340D" w:rsidP="0088340D">
            <w:pPr>
              <w:autoSpaceDE w:val="0"/>
              <w:autoSpaceDN w:val="0"/>
              <w:adjustRightInd w:val="0"/>
              <w:ind w:firstLine="317"/>
              <w:jc w:val="both"/>
            </w:pPr>
            <w:r>
              <w:rPr>
                <w:lang w:eastAsia="en-GB"/>
              </w:rPr>
              <w:t xml:space="preserve">Astfel, în ceea ce privește Regulamentul (UE) 2021/1060, termenii sunt definiți </w:t>
            </w:r>
            <w:r w:rsidR="00C862F6">
              <w:t>la art. 2 (beneficiar, operațiune, instrument financiar, relocare)</w:t>
            </w:r>
            <w:r>
              <w:t xml:space="preserve"> sau</w:t>
            </w:r>
            <w:r w:rsidR="00C862F6">
              <w:t xml:space="preserve"> sunt reglementați de articole dedicate din Regulamentul (UE) 2021/1060 al căror conținut reflectă cu claritate noțiunea (</w:t>
            </w:r>
            <w:r>
              <w:t xml:space="preserve">„program” la art. 21; </w:t>
            </w:r>
            <w:r w:rsidR="00C862F6">
              <w:t xml:space="preserve">autoritate de management </w:t>
            </w:r>
            <w:r>
              <w:t xml:space="preserve">la </w:t>
            </w:r>
            <w:r w:rsidR="00C862F6">
              <w:t xml:space="preserve">art. 72 și art. 75; dezvoltare locală plasată sub responsabilitatea comunității </w:t>
            </w:r>
            <w:r>
              <w:t xml:space="preserve">la </w:t>
            </w:r>
            <w:r w:rsidR="00C862F6">
              <w:t>art. 31 și art. 34).</w:t>
            </w:r>
          </w:p>
          <w:p w14:paraId="25507E2C" w14:textId="26D34E1F" w:rsidR="002C62AA" w:rsidRPr="00097EBF" w:rsidRDefault="00BE2B5E" w:rsidP="002C62AA">
            <w:pPr>
              <w:autoSpaceDE w:val="0"/>
              <w:autoSpaceDN w:val="0"/>
              <w:adjustRightInd w:val="0"/>
              <w:ind w:firstLine="317"/>
              <w:jc w:val="both"/>
              <w:rPr>
                <w:lang w:eastAsia="en-GB"/>
              </w:rPr>
            </w:pPr>
            <w:r>
              <w:rPr>
                <w:noProof/>
              </w:rPr>
              <w:t xml:space="preserve">Raportat la </w:t>
            </w:r>
            <w:r w:rsidR="006E0AA4">
              <w:rPr>
                <w:noProof/>
              </w:rPr>
              <w:t>regulil</w:t>
            </w:r>
            <w:r>
              <w:rPr>
                <w:noProof/>
              </w:rPr>
              <w:t>e</w:t>
            </w:r>
            <w:r w:rsidR="006E0AA4">
              <w:rPr>
                <w:noProof/>
              </w:rPr>
              <w:t xml:space="preserve"> de eligibilitate</w:t>
            </w:r>
            <w:r>
              <w:rPr>
                <w:noProof/>
              </w:rPr>
              <w:t xml:space="preserve"> existente în</w:t>
            </w:r>
            <w:r w:rsidR="00957CEB">
              <w:rPr>
                <w:noProof/>
              </w:rPr>
              <w:t xml:space="preserve"> cuprinsul unor</w:t>
            </w:r>
            <w:r>
              <w:rPr>
                <w:noProof/>
              </w:rPr>
              <w:t xml:space="preserve"> articole diferite în </w:t>
            </w:r>
            <w:r w:rsidR="00D82EC9">
              <w:rPr>
                <w:noProof/>
              </w:rPr>
              <w:t>Regulamentul (UE) 2021/1060</w:t>
            </w:r>
            <w:r w:rsidR="00FB22B6">
              <w:rPr>
                <w:noProof/>
              </w:rPr>
              <w:t xml:space="preserve"> și </w:t>
            </w:r>
            <w:r>
              <w:rPr>
                <w:noProof/>
              </w:rPr>
              <w:t xml:space="preserve">a </w:t>
            </w:r>
            <w:r w:rsidR="00FB22B6">
              <w:rPr>
                <w:noProof/>
              </w:rPr>
              <w:t>regulamentel</w:t>
            </w:r>
            <w:r>
              <w:rPr>
                <w:noProof/>
              </w:rPr>
              <w:t>or</w:t>
            </w:r>
            <w:r w:rsidR="00FB22B6">
              <w:rPr>
                <w:noProof/>
              </w:rPr>
              <w:t xml:space="preserve"> specifice fondurilor</w:t>
            </w:r>
            <w:r w:rsidR="001457D0">
              <w:rPr>
                <w:noProof/>
              </w:rPr>
              <w:t xml:space="preserve">, </w:t>
            </w:r>
            <w:r w:rsidR="00957CEB">
              <w:rPr>
                <w:noProof/>
              </w:rPr>
              <w:t>î</w:t>
            </w:r>
            <w:r w:rsidR="002C62AA" w:rsidRPr="00097EBF">
              <w:rPr>
                <w:noProof/>
              </w:rPr>
              <w:t xml:space="preserve">n cadrul actului normativ </w:t>
            </w:r>
            <w:r w:rsidR="00957CEB">
              <w:rPr>
                <w:noProof/>
              </w:rPr>
              <w:t>s-au</w:t>
            </w:r>
            <w:r w:rsidR="002C62AA" w:rsidRPr="00097EBF">
              <w:rPr>
                <w:noProof/>
              </w:rPr>
              <w:t xml:space="preserve"> </w:t>
            </w:r>
            <w:r w:rsidR="00C8587E">
              <w:rPr>
                <w:noProof/>
              </w:rPr>
              <w:t>specificat</w:t>
            </w:r>
            <w:r w:rsidR="000209B5">
              <w:rPr>
                <w:noProof/>
              </w:rPr>
              <w:t xml:space="preserve"> </w:t>
            </w:r>
            <w:r w:rsidR="002C62AA" w:rsidRPr="00097EBF">
              <w:rPr>
                <w:noProof/>
              </w:rPr>
              <w:t>următoarele aspecte:</w:t>
            </w:r>
          </w:p>
          <w:p w14:paraId="1C052638" w14:textId="41B0DB3A" w:rsidR="002C62AA" w:rsidRPr="00097EBF" w:rsidRDefault="002C62AA" w:rsidP="002C62AA">
            <w:pPr>
              <w:numPr>
                <w:ilvl w:val="0"/>
                <w:numId w:val="13"/>
              </w:numPr>
              <w:jc w:val="both"/>
              <w:rPr>
                <w:noProof/>
              </w:rPr>
            </w:pPr>
            <w:bookmarkStart w:id="1" w:name="_Hlk91591950"/>
            <w:r w:rsidRPr="00097EBF">
              <w:rPr>
                <w:noProof/>
              </w:rPr>
              <w:t>regulil</w:t>
            </w:r>
            <w:r w:rsidR="000209B5">
              <w:rPr>
                <w:noProof/>
              </w:rPr>
              <w:t>e</w:t>
            </w:r>
            <w:r w:rsidRPr="00097EBF">
              <w:rPr>
                <w:noProof/>
              </w:rPr>
              <w:t xml:space="preserve"> generale pe care trebuie să le îndeplinească o cheltuială pentru a fi eligibilă;</w:t>
            </w:r>
          </w:p>
          <w:p w14:paraId="0C97E9B8" w14:textId="4E341260" w:rsidR="002C62AA" w:rsidRPr="00097EBF" w:rsidRDefault="002C62AA" w:rsidP="002C62AA">
            <w:pPr>
              <w:numPr>
                <w:ilvl w:val="0"/>
                <w:numId w:val="13"/>
              </w:numPr>
              <w:jc w:val="both"/>
              <w:rPr>
                <w:noProof/>
              </w:rPr>
            </w:pPr>
            <w:r w:rsidRPr="00097EBF">
              <w:rPr>
                <w:noProof/>
              </w:rPr>
              <w:t>regulil</w:t>
            </w:r>
            <w:r w:rsidR="000209B5">
              <w:rPr>
                <w:noProof/>
              </w:rPr>
              <w:t>e</w:t>
            </w:r>
            <w:r w:rsidRPr="00097EBF">
              <w:rPr>
                <w:noProof/>
              </w:rPr>
              <w:t xml:space="preserve"> specifice pentru unele categorii de cheltuieli de tipul contribuţiei în natură,</w:t>
            </w:r>
            <w:r>
              <w:rPr>
                <w:noProof/>
              </w:rPr>
              <w:t xml:space="preserve"> amortizării, leasingului, cheltuieli</w:t>
            </w:r>
            <w:r w:rsidRPr="00097EBF">
              <w:rPr>
                <w:noProof/>
              </w:rPr>
              <w:t xml:space="preserve"> cu achiziția de terenuri și autovehicule sau mijloace de transport</w:t>
            </w:r>
            <w:r>
              <w:rPr>
                <w:noProof/>
              </w:rPr>
              <w:t>, inclusiv a celor nepoluante</w:t>
            </w:r>
            <w:r w:rsidRPr="00097EBF">
              <w:rPr>
                <w:noProof/>
              </w:rPr>
              <w:t>;</w:t>
            </w:r>
          </w:p>
          <w:p w14:paraId="3AEDF43D" w14:textId="66FCEFD1" w:rsidR="002C62AA" w:rsidRDefault="000209B5" w:rsidP="002C62AA">
            <w:pPr>
              <w:numPr>
                <w:ilvl w:val="0"/>
                <w:numId w:val="13"/>
              </w:numPr>
              <w:jc w:val="both"/>
              <w:rPr>
                <w:noProof/>
              </w:rPr>
            </w:pPr>
            <w:r>
              <w:rPr>
                <w:noProof/>
              </w:rPr>
              <w:t>c</w:t>
            </w:r>
            <w:r w:rsidR="002C62AA" w:rsidRPr="00097EBF">
              <w:rPr>
                <w:noProof/>
              </w:rPr>
              <w:t>ategoriile de cheltuieli neeligibile.</w:t>
            </w:r>
          </w:p>
          <w:p w14:paraId="2D590BCE" w14:textId="549F7669" w:rsidR="006B05CD" w:rsidRDefault="006B05CD" w:rsidP="006B05CD">
            <w:pPr>
              <w:autoSpaceDE w:val="0"/>
              <w:autoSpaceDN w:val="0"/>
              <w:adjustRightInd w:val="0"/>
              <w:ind w:firstLine="288"/>
              <w:jc w:val="both"/>
              <w:rPr>
                <w:color w:val="000000"/>
                <w:lang w:eastAsia="en-GB"/>
              </w:rPr>
            </w:pPr>
            <w:bookmarkStart w:id="2" w:name="_Hlk91592009"/>
            <w:bookmarkEnd w:id="1"/>
            <w:r>
              <w:rPr>
                <w:noProof/>
              </w:rPr>
              <w:t>În ceea ce privește regulile generale este necesară introducerea unor excepții punctuale av</w:t>
            </w:r>
            <w:r w:rsidR="00E90805">
              <w:rPr>
                <w:noProof/>
              </w:rPr>
              <w:t>â</w:t>
            </w:r>
            <w:r>
              <w:rPr>
                <w:noProof/>
              </w:rPr>
              <w:t xml:space="preserve">nd în vedere caracteristicile anumitor tipuri de cheltuieli. Astfel, opțiunile de costuri simplificate, </w:t>
            </w:r>
            <w:r>
              <w:rPr>
                <w:color w:val="000000"/>
                <w:lang w:eastAsia="en-GB"/>
              </w:rPr>
              <w:t>prin natura lor</w:t>
            </w:r>
            <w:r w:rsidR="00E90805">
              <w:rPr>
                <w:color w:val="000000"/>
                <w:lang w:eastAsia="en-GB"/>
              </w:rPr>
              <w:t>,</w:t>
            </w:r>
            <w:r>
              <w:rPr>
                <w:noProof/>
              </w:rPr>
              <w:t xml:space="preserve"> prevăzute la art. 53 alin. (1) lit. </w:t>
            </w:r>
            <w:r w:rsidRPr="00E535FF">
              <w:rPr>
                <w:color w:val="000000"/>
                <w:lang w:eastAsia="en-GB"/>
              </w:rPr>
              <w:t>(b</w:t>
            </w:r>
            <w:r w:rsidRPr="009C35A6">
              <w:rPr>
                <w:color w:val="000000"/>
                <w:lang w:eastAsia="en-GB"/>
              </w:rPr>
              <w:t>), (c), (d) și (f)</w:t>
            </w:r>
            <w:r>
              <w:rPr>
                <w:color w:val="000000"/>
                <w:lang w:eastAsia="en-GB"/>
              </w:rPr>
              <w:t xml:space="preserve"> nu vor fi însoțite de facturi sau documente cu valoare probatorie echivalentă și nici de documente care să atest</w:t>
            </w:r>
            <w:r w:rsidR="00E90805">
              <w:rPr>
                <w:color w:val="000000"/>
                <w:lang w:eastAsia="en-GB"/>
              </w:rPr>
              <w:t>e</w:t>
            </w:r>
            <w:r>
              <w:rPr>
                <w:color w:val="000000"/>
                <w:lang w:eastAsia="en-GB"/>
              </w:rPr>
              <w:t xml:space="preserve"> plata și nu vor fi înregistrate în contabilitate.  </w:t>
            </w:r>
          </w:p>
          <w:p w14:paraId="6419AA9B" w14:textId="167F583A" w:rsidR="006B05CD" w:rsidRDefault="006B05CD" w:rsidP="006B05CD">
            <w:pPr>
              <w:autoSpaceDE w:val="0"/>
              <w:autoSpaceDN w:val="0"/>
              <w:adjustRightInd w:val="0"/>
              <w:ind w:firstLine="288"/>
              <w:jc w:val="both"/>
              <w:rPr>
                <w:color w:val="000000"/>
                <w:lang w:eastAsia="en-GB"/>
              </w:rPr>
            </w:pPr>
            <w:r>
              <w:rPr>
                <w:color w:val="000000"/>
                <w:lang w:eastAsia="en-GB"/>
              </w:rPr>
              <w:t>Totodată, amortizarea și contribuția în natură nu pot fi însoțite de dovada plății</w:t>
            </w:r>
            <w:r w:rsidR="00461BC5">
              <w:rPr>
                <w:color w:val="000000"/>
                <w:lang w:eastAsia="en-GB"/>
              </w:rPr>
              <w:t>,</w:t>
            </w:r>
            <w:r>
              <w:rPr>
                <w:color w:val="000000"/>
                <w:lang w:eastAsia="en-GB"/>
              </w:rPr>
              <w:t xml:space="preserve"> iar contribuția în natură nu poate fi însoțită de factur</w:t>
            </w:r>
            <w:r w:rsidR="001A5610">
              <w:rPr>
                <w:color w:val="000000"/>
                <w:lang w:eastAsia="en-GB"/>
              </w:rPr>
              <w:t>ă</w:t>
            </w:r>
            <w:r>
              <w:rPr>
                <w:color w:val="000000"/>
                <w:lang w:eastAsia="en-GB"/>
              </w:rPr>
              <w:t xml:space="preserve"> sau documente cu valoare probatorie echivalentă.</w:t>
            </w:r>
          </w:p>
          <w:p w14:paraId="38CFE2BF" w14:textId="4E74D4CE" w:rsidR="0012361A" w:rsidRDefault="00CF3B65" w:rsidP="002C62AA">
            <w:pPr>
              <w:autoSpaceDE w:val="0"/>
              <w:autoSpaceDN w:val="0"/>
              <w:adjustRightInd w:val="0"/>
              <w:ind w:firstLine="288"/>
              <w:jc w:val="both"/>
              <w:rPr>
                <w:lang w:eastAsia="en-GB"/>
              </w:rPr>
            </w:pPr>
            <w:r>
              <w:rPr>
                <w:lang w:eastAsia="en-GB"/>
              </w:rPr>
              <w:t xml:space="preserve"> </w:t>
            </w:r>
            <w:r w:rsidR="00C839EF">
              <w:rPr>
                <w:lang w:eastAsia="en-GB"/>
              </w:rPr>
              <w:t>Î</w:t>
            </w:r>
            <w:r w:rsidR="0012361A">
              <w:rPr>
                <w:lang w:eastAsia="en-GB"/>
              </w:rPr>
              <w:t xml:space="preserve">n cazul operațiunilor care intră sub incidența ajutorului de stat, potrivit prevederilor art. 107 din Tratatul privind Funcționarea Uniunii Europene, </w:t>
            </w:r>
            <w:r w:rsidR="0012361A">
              <w:t>o cheltuială trebuie să îndeplinească cumulativ prevederile prezentei hotărâri, precum și condițiile de eligibilitate specifice tipului de ajutor de stat aplicabil</w:t>
            </w:r>
            <w:r w:rsidR="006D2751">
              <w:t>.</w:t>
            </w:r>
            <w:r w:rsidR="002C63A8">
              <w:t xml:space="preserve"> In cazul aceluiași obiect al reglementării, prevalează regulile ajutorului de stat.</w:t>
            </w:r>
          </w:p>
          <w:p w14:paraId="55BF8B12" w14:textId="1AFF44D7" w:rsidR="002C62AA" w:rsidRDefault="00C839EF" w:rsidP="002C62AA">
            <w:pPr>
              <w:autoSpaceDE w:val="0"/>
              <w:autoSpaceDN w:val="0"/>
              <w:adjustRightInd w:val="0"/>
              <w:ind w:firstLine="288"/>
              <w:jc w:val="both"/>
              <w:rPr>
                <w:color w:val="000000"/>
                <w:lang w:eastAsia="en-GB"/>
              </w:rPr>
            </w:pPr>
            <w:r>
              <w:rPr>
                <w:lang w:eastAsia="en-GB"/>
              </w:rPr>
              <w:lastRenderedPageBreak/>
              <w:t>În scopul evitării unor prevederi redundante</w:t>
            </w:r>
            <w:r w:rsidR="003B6DAF">
              <w:rPr>
                <w:lang w:eastAsia="en-GB"/>
              </w:rPr>
              <w:t>,</w:t>
            </w:r>
            <w:r w:rsidR="006D2751">
              <w:rPr>
                <w:lang w:eastAsia="en-GB"/>
              </w:rPr>
              <w:t xml:space="preserve"> </w:t>
            </w:r>
            <w:r w:rsidR="00C8587E">
              <w:rPr>
                <w:lang w:eastAsia="en-GB"/>
              </w:rPr>
              <w:t>p</w:t>
            </w:r>
            <w:r w:rsidR="002C62AA">
              <w:rPr>
                <w:lang w:eastAsia="en-GB"/>
              </w:rPr>
              <w:t>revederile act</w:t>
            </w:r>
            <w:r w:rsidR="00570E3E">
              <w:rPr>
                <w:lang w:eastAsia="en-GB"/>
              </w:rPr>
              <w:t>ului</w:t>
            </w:r>
            <w:r w:rsidR="002C62AA">
              <w:rPr>
                <w:lang w:eastAsia="en-GB"/>
              </w:rPr>
              <w:t xml:space="preserve"> normativ se completează cu normele</w:t>
            </w:r>
            <w:r w:rsidR="006D2751">
              <w:rPr>
                <w:lang w:eastAsia="en-GB"/>
              </w:rPr>
              <w:t xml:space="preserve"> de eligibilitate </w:t>
            </w:r>
            <w:r w:rsidR="002C62AA" w:rsidRPr="00885808">
              <w:rPr>
                <w:color w:val="000000"/>
                <w:lang w:eastAsia="en-GB"/>
              </w:rPr>
              <w:t xml:space="preserve">specifice </w:t>
            </w:r>
            <w:r w:rsidR="002C62AA">
              <w:rPr>
                <w:color w:val="000000"/>
                <w:lang w:eastAsia="en-GB"/>
              </w:rPr>
              <w:t>prevăzute în Regulamentul</w:t>
            </w:r>
            <w:r w:rsidR="002C62AA" w:rsidRPr="00885808">
              <w:rPr>
                <w:color w:val="000000"/>
                <w:lang w:eastAsia="en-GB"/>
              </w:rPr>
              <w:t xml:space="preserve"> (UE) 2021</w:t>
            </w:r>
            <w:r w:rsidR="002C62AA">
              <w:rPr>
                <w:color w:val="000000"/>
                <w:lang w:eastAsia="en-GB"/>
              </w:rPr>
              <w:t>/1060</w:t>
            </w:r>
            <w:r w:rsidR="002C62AA" w:rsidRPr="00885808">
              <w:rPr>
                <w:color w:val="000000"/>
                <w:lang w:eastAsia="en-GB"/>
              </w:rPr>
              <w:t xml:space="preserve"> privind prevederile comune pentru instrumentele financiare</w:t>
            </w:r>
            <w:r w:rsidR="00991C84">
              <w:rPr>
                <w:color w:val="000000"/>
                <w:lang w:eastAsia="en-GB"/>
              </w:rPr>
              <w:t xml:space="preserve"> (art. 58-62 și art. 68)</w:t>
            </w:r>
            <w:r w:rsidR="002C62AA">
              <w:rPr>
                <w:color w:val="000000"/>
                <w:lang w:eastAsia="en-GB"/>
              </w:rPr>
              <w:t xml:space="preserve">, precum </w:t>
            </w:r>
            <w:r w:rsidR="001F1219">
              <w:rPr>
                <w:color w:val="000000"/>
                <w:lang w:eastAsia="en-GB"/>
              </w:rPr>
              <w:t>și</w:t>
            </w:r>
            <w:r w:rsidR="002C62AA">
              <w:rPr>
                <w:color w:val="000000"/>
                <w:lang w:eastAsia="en-GB"/>
              </w:rPr>
              <w:t xml:space="preserve"> pentru </w:t>
            </w:r>
            <w:r w:rsidR="002C62AA">
              <w:t>sprijinul acordat strategiilor</w:t>
            </w:r>
            <w:r w:rsidR="002C62AA" w:rsidRPr="00885808">
              <w:t xml:space="preserve"> de dezvoltare locală plasată sub responsabilitatea</w:t>
            </w:r>
            <w:r w:rsidR="002C62AA">
              <w:t xml:space="preserve"> comunității</w:t>
            </w:r>
            <w:r w:rsidR="00991C84">
              <w:t xml:space="preserve"> (art. 31-34)</w:t>
            </w:r>
            <w:r w:rsidR="002C62AA">
              <w:rPr>
                <w:color w:val="000000"/>
                <w:lang w:eastAsia="en-GB"/>
              </w:rPr>
              <w:t>.</w:t>
            </w:r>
          </w:p>
          <w:bookmarkEnd w:id="2"/>
          <w:p w14:paraId="3047133F" w14:textId="3752C28F" w:rsidR="002C62AA" w:rsidRDefault="00570E3E" w:rsidP="002C62AA">
            <w:pPr>
              <w:autoSpaceDE w:val="0"/>
              <w:autoSpaceDN w:val="0"/>
              <w:adjustRightInd w:val="0"/>
              <w:ind w:firstLine="317"/>
              <w:jc w:val="both"/>
              <w:rPr>
                <w:bCs/>
                <w:color w:val="000000"/>
                <w:lang w:eastAsia="en-GB"/>
              </w:rPr>
            </w:pPr>
            <w:r>
              <w:rPr>
                <w:color w:val="000000"/>
                <w:lang w:eastAsia="en-GB"/>
              </w:rPr>
              <w:t>De asemenea, î</w:t>
            </w:r>
            <w:r w:rsidR="002C62AA" w:rsidRPr="00644805">
              <w:rPr>
                <w:color w:val="000000"/>
                <w:lang w:eastAsia="en-GB"/>
              </w:rPr>
              <w:t xml:space="preserve">n ceea ce privește cheltuielile efectuate </w:t>
            </w:r>
            <w:r w:rsidR="002C62AA">
              <w:rPr>
                <w:color w:val="000000"/>
                <w:lang w:eastAsia="en-GB"/>
              </w:rPr>
              <w:t>î</w:t>
            </w:r>
            <w:r w:rsidR="002C62AA" w:rsidRPr="00644805">
              <w:rPr>
                <w:color w:val="000000"/>
                <w:lang w:eastAsia="en-GB"/>
              </w:rPr>
              <w:t xml:space="preserve">n cadrul operațiunilor finanțate prin Fondul </w:t>
            </w:r>
            <w:r w:rsidR="00F1597B">
              <w:rPr>
                <w:color w:val="000000"/>
                <w:lang w:eastAsia="en-GB"/>
              </w:rPr>
              <w:t>s</w:t>
            </w:r>
            <w:r w:rsidR="002C62AA" w:rsidRPr="00644805">
              <w:rPr>
                <w:color w:val="000000"/>
                <w:lang w:eastAsia="en-GB"/>
              </w:rPr>
              <w:t>ocial</w:t>
            </w:r>
            <w:r w:rsidR="00F1597B">
              <w:rPr>
                <w:color w:val="000000"/>
                <w:lang w:eastAsia="en-GB"/>
              </w:rPr>
              <w:t xml:space="preserve"> european</w:t>
            </w:r>
            <w:r w:rsidR="002C62AA" w:rsidRPr="00644805">
              <w:rPr>
                <w:color w:val="000000"/>
                <w:lang w:eastAsia="en-GB"/>
              </w:rPr>
              <w:t xml:space="preserve"> Plus, condițiile generale de eligibilitate se completează</w:t>
            </w:r>
            <w:r w:rsidR="002C62AA">
              <w:rPr>
                <w:color w:val="000000"/>
                <w:lang w:eastAsia="en-GB"/>
              </w:rPr>
              <w:t xml:space="preserve"> cu </w:t>
            </w:r>
            <w:r w:rsidR="00C00D81">
              <w:rPr>
                <w:color w:val="000000"/>
                <w:lang w:eastAsia="en-GB"/>
              </w:rPr>
              <w:t>condiții</w:t>
            </w:r>
            <w:r w:rsidR="00C00D81" w:rsidRPr="00644805">
              <w:rPr>
                <w:color w:val="000000"/>
                <w:lang w:eastAsia="en-GB"/>
              </w:rPr>
              <w:t>le</w:t>
            </w:r>
            <w:r w:rsidR="002C62AA" w:rsidRPr="00644805">
              <w:rPr>
                <w:color w:val="000000"/>
                <w:lang w:eastAsia="en-GB"/>
              </w:rPr>
              <w:t xml:space="preserve"> specifice prevăzute</w:t>
            </w:r>
            <w:r w:rsidR="002C62AA">
              <w:rPr>
                <w:color w:val="000000"/>
                <w:lang w:eastAsia="en-GB"/>
              </w:rPr>
              <w:t xml:space="preserve"> î</w:t>
            </w:r>
            <w:r w:rsidR="002C62AA" w:rsidRPr="00644805">
              <w:rPr>
                <w:color w:val="000000"/>
                <w:lang w:eastAsia="en-GB"/>
              </w:rPr>
              <w:t>n Regulamentul (UE) 2021</w:t>
            </w:r>
            <w:r w:rsidR="002C62AA">
              <w:rPr>
                <w:color w:val="000000"/>
                <w:lang w:eastAsia="en-GB"/>
              </w:rPr>
              <w:t>/1057</w:t>
            </w:r>
            <w:r w:rsidR="002C62AA" w:rsidRPr="00644805">
              <w:rPr>
                <w:color w:val="000000"/>
                <w:lang w:eastAsia="en-GB"/>
              </w:rPr>
              <w:t xml:space="preserve"> </w:t>
            </w:r>
            <w:r w:rsidR="002C62AA" w:rsidRPr="0035481D">
              <w:rPr>
                <w:bCs/>
                <w:color w:val="000000"/>
                <w:lang w:eastAsia="en-GB"/>
              </w:rPr>
              <w:t>de instituire a Fondului social european Plus (FSE+)</w:t>
            </w:r>
            <w:r w:rsidR="002C62AA">
              <w:rPr>
                <w:bCs/>
                <w:color w:val="000000"/>
                <w:lang w:eastAsia="en-GB"/>
              </w:rPr>
              <w:t>.</w:t>
            </w:r>
          </w:p>
          <w:p w14:paraId="7A28513B" w14:textId="3B783526" w:rsidR="00881A36" w:rsidRDefault="007F24D4" w:rsidP="007673BE">
            <w:pPr>
              <w:autoSpaceDE w:val="0"/>
              <w:autoSpaceDN w:val="0"/>
              <w:adjustRightInd w:val="0"/>
              <w:ind w:firstLine="317"/>
              <w:jc w:val="both"/>
              <w:rPr>
                <w:bCs/>
                <w:color w:val="000000"/>
                <w:lang w:eastAsia="en-GB"/>
              </w:rPr>
            </w:pPr>
            <w:r>
              <w:rPr>
                <w:bCs/>
                <w:color w:val="000000"/>
                <w:lang w:eastAsia="en-GB"/>
              </w:rPr>
              <w:t>Referitor la c</w:t>
            </w:r>
            <w:r w:rsidR="007673BE" w:rsidRPr="007673BE">
              <w:rPr>
                <w:bCs/>
                <w:color w:val="000000"/>
                <w:lang w:eastAsia="en-GB"/>
              </w:rPr>
              <w:t>ontribuția în natură</w:t>
            </w:r>
            <w:r w:rsidR="00881A36">
              <w:rPr>
                <w:bCs/>
                <w:color w:val="000000"/>
                <w:lang w:eastAsia="en-GB"/>
              </w:rPr>
              <w:t xml:space="preserve">, </w:t>
            </w:r>
            <w:r w:rsidR="00881A36">
              <w:rPr>
                <w:lang w:eastAsia="en-GB"/>
              </w:rPr>
              <w:t>sunt detaliate condițiile specifice de eligibilitate, care</w:t>
            </w:r>
            <w:r w:rsidR="005059DD">
              <w:rPr>
                <w:lang w:eastAsia="en-GB"/>
              </w:rPr>
              <w:t>,</w:t>
            </w:r>
            <w:r w:rsidR="00881A36">
              <w:rPr>
                <w:lang w:eastAsia="en-GB"/>
              </w:rPr>
              <w:t xml:space="preserve"> cumulate cu cele generale și cu prevederile </w:t>
            </w:r>
            <w:r w:rsidR="00881A36" w:rsidRPr="007673BE">
              <w:rPr>
                <w:bCs/>
                <w:color w:val="000000"/>
                <w:lang w:eastAsia="en-GB"/>
              </w:rPr>
              <w:t>art. 67 alin. (1) din Regulamentul (UE) 2021/1060</w:t>
            </w:r>
            <w:r w:rsidR="00881A36">
              <w:rPr>
                <w:bCs/>
                <w:color w:val="000000"/>
                <w:lang w:eastAsia="en-GB"/>
              </w:rPr>
              <w:t xml:space="preserve">, </w:t>
            </w:r>
            <w:r w:rsidR="00881A36">
              <w:rPr>
                <w:lang w:eastAsia="en-GB"/>
              </w:rPr>
              <w:t>trebuie îndeplinite de o cheltuială pentru a putea fi rambursată din fondurile europene.</w:t>
            </w:r>
          </w:p>
          <w:p w14:paraId="5F426A40" w14:textId="1550E643" w:rsidR="00C378B9" w:rsidRDefault="007673BE" w:rsidP="007673BE">
            <w:pPr>
              <w:autoSpaceDE w:val="0"/>
              <w:autoSpaceDN w:val="0"/>
              <w:adjustRightInd w:val="0"/>
              <w:ind w:firstLine="317"/>
              <w:jc w:val="both"/>
              <w:rPr>
                <w:bCs/>
                <w:color w:val="000000"/>
                <w:lang w:eastAsia="en-GB"/>
              </w:rPr>
            </w:pPr>
            <w:r w:rsidRPr="007673BE">
              <w:rPr>
                <w:bCs/>
                <w:color w:val="000000"/>
                <w:lang w:eastAsia="en-GB"/>
              </w:rPr>
              <w:t xml:space="preserve"> </w:t>
            </w:r>
            <w:r w:rsidR="00C378B9" w:rsidRPr="00C378B9">
              <w:rPr>
                <w:bCs/>
                <w:color w:val="000000"/>
                <w:lang w:eastAsia="en-GB"/>
              </w:rPr>
              <w:t xml:space="preserve">Amortizarea este considerată cheltuială eligibilă dacă respectă condițiile </w:t>
            </w:r>
            <w:r w:rsidR="002E13E4">
              <w:rPr>
                <w:bCs/>
                <w:color w:val="000000"/>
                <w:lang w:eastAsia="en-GB"/>
              </w:rPr>
              <w:t>p</w:t>
            </w:r>
            <w:r w:rsidR="00C378B9" w:rsidRPr="00C378B9">
              <w:rPr>
                <w:bCs/>
                <w:color w:val="000000"/>
                <w:lang w:eastAsia="en-GB"/>
              </w:rPr>
              <w:t>revăzute la art. 67 alin. (2) din Regulamentul (UE) 2021/1060 privind prevederile comune, precum și cele prevăzute la art. 2</w:t>
            </w:r>
            <w:r w:rsidR="002E13E4">
              <w:rPr>
                <w:bCs/>
                <w:color w:val="000000"/>
                <w:lang w:eastAsia="en-GB"/>
              </w:rPr>
              <w:t xml:space="preserve"> din cadrul hotărârii</w:t>
            </w:r>
            <w:r w:rsidR="00C378B9" w:rsidRPr="00C378B9">
              <w:rPr>
                <w:bCs/>
                <w:color w:val="000000"/>
                <w:lang w:eastAsia="en-GB"/>
              </w:rPr>
              <w:t>.</w:t>
            </w:r>
          </w:p>
          <w:p w14:paraId="31BA2C55" w14:textId="4F141FAE" w:rsidR="002C62AA" w:rsidRDefault="00BE2FE6" w:rsidP="002C62AA">
            <w:pPr>
              <w:autoSpaceDE w:val="0"/>
              <w:autoSpaceDN w:val="0"/>
              <w:adjustRightInd w:val="0"/>
              <w:ind w:firstLine="317"/>
              <w:jc w:val="both"/>
              <w:rPr>
                <w:color w:val="000000"/>
                <w:lang w:eastAsia="en-GB"/>
              </w:rPr>
            </w:pPr>
            <w:r>
              <w:rPr>
                <w:color w:val="000000"/>
                <w:lang w:eastAsia="en-GB"/>
              </w:rPr>
              <w:t xml:space="preserve"> </w:t>
            </w:r>
            <w:r w:rsidR="002C62AA" w:rsidRPr="00CD74AC">
              <w:rPr>
                <w:color w:val="000000"/>
                <w:lang w:eastAsia="en-GB"/>
              </w:rPr>
              <w:t>Pentru a se</w:t>
            </w:r>
            <w:r w:rsidR="002C62AA">
              <w:rPr>
                <w:color w:val="000000"/>
                <w:lang w:eastAsia="en-GB"/>
              </w:rPr>
              <w:t xml:space="preserve"> reduce sarcina administrativă </w:t>
            </w:r>
            <w:r w:rsidR="00517490">
              <w:rPr>
                <w:color w:val="000000"/>
                <w:lang w:eastAsia="en-GB"/>
              </w:rPr>
              <w:t>și</w:t>
            </w:r>
            <w:r w:rsidR="002C62AA" w:rsidRPr="00CD74AC">
              <w:rPr>
                <w:color w:val="000000"/>
                <w:lang w:eastAsia="en-GB"/>
              </w:rPr>
              <w:t xml:space="preserve"> pentru a simplifica utilizarea fondurilor pentru perioada 2021-2027, </w:t>
            </w:r>
            <w:r w:rsidR="002C62AA">
              <w:rPr>
                <w:color w:val="000000"/>
                <w:lang w:eastAsia="en-GB"/>
              </w:rPr>
              <w:t xml:space="preserve">sunt stabilite </w:t>
            </w:r>
            <w:r w:rsidR="002C62AA" w:rsidRPr="00CD74AC">
              <w:rPr>
                <w:color w:val="000000"/>
                <w:lang w:eastAsia="en-GB"/>
              </w:rPr>
              <w:t>condițiil</w:t>
            </w:r>
            <w:r w:rsidR="002C62AA">
              <w:rPr>
                <w:color w:val="000000"/>
                <w:lang w:eastAsia="en-GB"/>
              </w:rPr>
              <w:t>e</w:t>
            </w:r>
            <w:r w:rsidR="002C62AA" w:rsidRPr="00CD74AC">
              <w:rPr>
                <w:color w:val="000000"/>
                <w:lang w:eastAsia="en-GB"/>
              </w:rPr>
              <w:t xml:space="preserve"> privind utilizarea opțiunilor de costuri simplificate. Tipurile de opțiuni de costuri simplificate sunt prevăzute la art. 53 alineatul (1) literele (b), (c)</w:t>
            </w:r>
            <w:r w:rsidR="00517490">
              <w:rPr>
                <w:color w:val="000000"/>
                <w:lang w:eastAsia="en-GB"/>
              </w:rPr>
              <w:t>,</w:t>
            </w:r>
            <w:r w:rsidR="002C62AA" w:rsidRPr="00CD74AC">
              <w:rPr>
                <w:color w:val="000000"/>
                <w:lang w:eastAsia="en-GB"/>
              </w:rPr>
              <w:t xml:space="preserve"> (d)</w:t>
            </w:r>
            <w:r w:rsidR="00517490">
              <w:rPr>
                <w:color w:val="000000"/>
                <w:lang w:eastAsia="en-GB"/>
              </w:rPr>
              <w:t xml:space="preserve"> și (f)</w:t>
            </w:r>
            <w:r w:rsidR="002C62AA" w:rsidRPr="00CD74AC">
              <w:rPr>
                <w:color w:val="000000"/>
                <w:lang w:eastAsia="en-GB"/>
              </w:rPr>
              <w:t xml:space="preserve"> din Regulamentul (UE)</w:t>
            </w:r>
            <w:r w:rsidR="002C62AA">
              <w:rPr>
                <w:color w:val="000000"/>
                <w:lang w:eastAsia="en-GB"/>
              </w:rPr>
              <w:t xml:space="preserve"> </w:t>
            </w:r>
            <w:r w:rsidR="002C62AA" w:rsidRPr="00CD74AC">
              <w:rPr>
                <w:color w:val="000000"/>
                <w:lang w:eastAsia="en-GB"/>
              </w:rPr>
              <w:t>2021</w:t>
            </w:r>
            <w:r w:rsidR="002C62AA">
              <w:rPr>
                <w:color w:val="000000"/>
                <w:lang w:eastAsia="en-GB"/>
              </w:rPr>
              <w:t>/1060</w:t>
            </w:r>
            <w:r w:rsidR="00937F87">
              <w:rPr>
                <w:color w:val="000000"/>
                <w:lang w:eastAsia="en-GB"/>
              </w:rPr>
              <w:t>, respectiv costurile unitare, sumele forfetare, finanțarea la rate forfetare, precum și cheltuielile stabilite sub forma finanțării nelegate de costuri</w:t>
            </w:r>
            <w:r w:rsidR="0058460D">
              <w:rPr>
                <w:color w:val="000000"/>
                <w:lang w:eastAsia="en-GB"/>
              </w:rPr>
              <w:t>.</w:t>
            </w:r>
          </w:p>
          <w:p w14:paraId="5B610F78" w14:textId="5C20D92F" w:rsidR="00885D62" w:rsidRDefault="00885D62" w:rsidP="00885D62">
            <w:pPr>
              <w:autoSpaceDE w:val="0"/>
              <w:autoSpaceDN w:val="0"/>
              <w:adjustRightInd w:val="0"/>
              <w:spacing w:after="120"/>
              <w:jc w:val="both"/>
            </w:pPr>
            <w:r>
              <w:t xml:space="preserve">      Astfel, î</w:t>
            </w:r>
            <w:r w:rsidRPr="00973EBD">
              <w:t xml:space="preserve">n cazul formelor de sprijin reglementate la art. 53 </w:t>
            </w:r>
            <w:r>
              <w:t>alin.</w:t>
            </w:r>
            <w:r w:rsidRPr="00973EBD">
              <w:t xml:space="preserve"> (1) literele (b), (c)</w:t>
            </w:r>
            <w:r w:rsidR="002859AE">
              <w:t>,</w:t>
            </w:r>
            <w:r w:rsidRPr="00973EBD">
              <w:t xml:space="preserve"> (d) </w:t>
            </w:r>
            <w:r w:rsidR="002859AE">
              <w:t xml:space="preserve">și f) </w:t>
            </w:r>
            <w:r w:rsidRPr="00973EBD">
              <w:t>din  Regulamentul (UE) 2021</w:t>
            </w:r>
            <w:r>
              <w:t>/1060,</w:t>
            </w:r>
            <w:r w:rsidRPr="00973EBD">
              <w:t xml:space="preserve"> </w:t>
            </w:r>
            <w:r w:rsidR="00024C00">
              <w:t>acestea</w:t>
            </w:r>
            <w:r w:rsidR="00024C00" w:rsidRPr="00973EBD">
              <w:t xml:space="preserve"> </w:t>
            </w:r>
            <w:r w:rsidRPr="00973EBD">
              <w:t xml:space="preserve">trebuie să respecte </w:t>
            </w:r>
            <w:r w:rsidR="00F522E2">
              <w:t>prevederile</w:t>
            </w:r>
            <w:r w:rsidR="00024C00">
              <w:t xml:space="preserve"> art. 2 din cadrul hotărârii , precum și condițiile stabilite </w:t>
            </w:r>
            <w:r w:rsidRPr="00973EBD">
              <w:t xml:space="preserve">prin programul operațional </w:t>
            </w:r>
            <w:r w:rsidR="002859AE">
              <w:t xml:space="preserve">aprobat prin decizia </w:t>
            </w:r>
            <w:r w:rsidRPr="00973EBD">
              <w:t>reglementată la art. 94 alin.</w:t>
            </w:r>
            <w:r>
              <w:t xml:space="preserve"> </w:t>
            </w:r>
            <w:r w:rsidRPr="00973EBD">
              <w:t>(3)</w:t>
            </w:r>
            <w:r w:rsidR="002859AE">
              <w:t xml:space="preserve"> și </w:t>
            </w:r>
            <w:r w:rsidR="00EA73CD">
              <w:t xml:space="preserve">la art. </w:t>
            </w:r>
            <w:r w:rsidR="002859AE" w:rsidRPr="00C40991">
              <w:t>95 alin.</w:t>
            </w:r>
            <w:r w:rsidR="002859AE">
              <w:t xml:space="preserve"> </w:t>
            </w:r>
            <w:r w:rsidR="002859AE" w:rsidRPr="00C40991">
              <w:t xml:space="preserve">(2) </w:t>
            </w:r>
            <w:r w:rsidRPr="00973EBD">
              <w:t xml:space="preserve"> din Regulamentul (UE) 2021</w:t>
            </w:r>
            <w:r>
              <w:t>/1060</w:t>
            </w:r>
            <w:r w:rsidRPr="00973EBD">
              <w:t xml:space="preserve"> sau prin</w:t>
            </w:r>
            <w:r w:rsidRPr="00570105">
              <w:t xml:space="preserve"> </w:t>
            </w:r>
            <w:r w:rsidRPr="00EF402C">
              <w:t>actul</w:t>
            </w:r>
            <w:r w:rsidRPr="00570105">
              <w:t xml:space="preserve"> delegat</w:t>
            </w:r>
            <w:r w:rsidRPr="00A92A00">
              <w:t xml:space="preserve"> </w:t>
            </w:r>
            <w:r w:rsidRPr="00973EBD">
              <w:t xml:space="preserve">reglementat la art. 94 alin. (4) </w:t>
            </w:r>
            <w:r w:rsidR="002859AE">
              <w:t xml:space="preserve">și </w:t>
            </w:r>
            <w:r w:rsidR="00EA73CD">
              <w:t xml:space="preserve">la art. </w:t>
            </w:r>
            <w:r w:rsidR="002859AE" w:rsidRPr="00C40991">
              <w:t xml:space="preserve">95 alin. (4) </w:t>
            </w:r>
            <w:r w:rsidRPr="00973EBD">
              <w:t>din Regulamentul (UE) 2021</w:t>
            </w:r>
            <w:r>
              <w:t>/1060</w:t>
            </w:r>
            <w:r w:rsidRPr="00973EBD">
              <w:t>.</w:t>
            </w:r>
          </w:p>
          <w:p w14:paraId="6D6B236F" w14:textId="521041CF" w:rsidR="00ED338A" w:rsidRDefault="00BE2FE6" w:rsidP="002C62AA">
            <w:pPr>
              <w:autoSpaceDE w:val="0"/>
              <w:autoSpaceDN w:val="0"/>
              <w:adjustRightInd w:val="0"/>
              <w:ind w:firstLine="317"/>
              <w:jc w:val="both"/>
              <w:rPr>
                <w:lang w:eastAsia="en-GB"/>
              </w:rPr>
            </w:pPr>
            <w:r>
              <w:rPr>
                <w:lang w:eastAsia="en-GB"/>
              </w:rPr>
              <w:t xml:space="preserve"> </w:t>
            </w:r>
            <w:r w:rsidR="009606EB">
              <w:rPr>
                <w:lang w:eastAsia="en-GB"/>
              </w:rPr>
              <w:t>În ceea ce privește terenurile, Reg</w:t>
            </w:r>
            <w:r w:rsidR="00C656D3">
              <w:rPr>
                <w:lang w:eastAsia="en-GB"/>
              </w:rPr>
              <w:t>ulamentul</w:t>
            </w:r>
            <w:r w:rsidR="003E6CC8">
              <w:rPr>
                <w:lang w:eastAsia="en-GB"/>
              </w:rPr>
              <w:t xml:space="preserve"> (UE) 2021/1060</w:t>
            </w:r>
            <w:r w:rsidR="009606EB">
              <w:rPr>
                <w:lang w:eastAsia="en-GB"/>
              </w:rPr>
              <w:t xml:space="preserve"> prevede eligibilitatea terenului ca excepți</w:t>
            </w:r>
            <w:r w:rsidR="00386AC1">
              <w:rPr>
                <w:lang w:eastAsia="en-GB"/>
              </w:rPr>
              <w:t>e</w:t>
            </w:r>
            <w:r w:rsidR="00645824">
              <w:rPr>
                <w:lang w:eastAsia="en-GB"/>
              </w:rPr>
              <w:t xml:space="preserve">, </w:t>
            </w:r>
            <w:r w:rsidR="00E435F9">
              <w:rPr>
                <w:lang w:eastAsia="en-GB"/>
              </w:rPr>
              <w:t xml:space="preserve">cheltuielile </w:t>
            </w:r>
            <w:r w:rsidR="00645824">
              <w:rPr>
                <w:lang w:eastAsia="en-GB"/>
              </w:rPr>
              <w:t>fiind</w:t>
            </w:r>
            <w:r w:rsidR="00E435F9">
              <w:rPr>
                <w:lang w:eastAsia="en-GB"/>
              </w:rPr>
              <w:t xml:space="preserve"> eligibile în limita unor plafoane de 10%, respectiv 15% din totalul cheltuielilor eligibile ale unei operațiuni. </w:t>
            </w:r>
            <w:r w:rsidR="005022EC">
              <w:rPr>
                <w:lang w:eastAsia="en-GB"/>
              </w:rPr>
              <w:t>Cu toate acestea, în cazul operațiunilor care vizează conservarea mediului</w:t>
            </w:r>
            <w:r w:rsidR="0087158A">
              <w:rPr>
                <w:lang w:eastAsia="en-GB"/>
              </w:rPr>
              <w:t>, respectivele plafoane nu se aplică</w:t>
            </w:r>
            <w:r w:rsidR="003E6CC8">
              <w:rPr>
                <w:lang w:eastAsia="en-GB"/>
              </w:rPr>
              <w:t xml:space="preserve">, rezultând o eligibilitate de 100% a costurilor de achiziție a </w:t>
            </w:r>
            <w:r w:rsidR="00ED338A">
              <w:rPr>
                <w:lang w:eastAsia="en-GB"/>
              </w:rPr>
              <w:t>terenurilor.</w:t>
            </w:r>
          </w:p>
          <w:p w14:paraId="45DA988A" w14:textId="67DF422F" w:rsidR="009606EB" w:rsidRDefault="00D834B4" w:rsidP="002C62AA">
            <w:pPr>
              <w:autoSpaceDE w:val="0"/>
              <w:autoSpaceDN w:val="0"/>
              <w:adjustRightInd w:val="0"/>
              <w:ind w:firstLine="317"/>
              <w:jc w:val="both"/>
              <w:rPr>
                <w:lang w:eastAsia="en-GB"/>
              </w:rPr>
            </w:pPr>
            <w:r>
              <w:rPr>
                <w:lang w:eastAsia="en-GB"/>
              </w:rPr>
              <w:t xml:space="preserve"> </w:t>
            </w:r>
            <w:r w:rsidR="00ED338A">
              <w:rPr>
                <w:lang w:eastAsia="en-GB"/>
              </w:rPr>
              <w:t>În plus</w:t>
            </w:r>
            <w:r w:rsidR="00746FB0">
              <w:rPr>
                <w:lang w:eastAsia="en-GB"/>
              </w:rPr>
              <w:t>,</w:t>
            </w:r>
            <w:r w:rsidR="00ED338A">
              <w:rPr>
                <w:lang w:eastAsia="en-GB"/>
              </w:rPr>
              <w:t xml:space="preserve"> față de reglementările din Regulamentul (UE) </w:t>
            </w:r>
            <w:r w:rsidR="00746FB0">
              <w:rPr>
                <w:lang w:eastAsia="en-GB"/>
              </w:rPr>
              <w:t>2021/</w:t>
            </w:r>
            <w:r w:rsidR="00ED338A">
              <w:rPr>
                <w:lang w:eastAsia="en-GB"/>
              </w:rPr>
              <w:t xml:space="preserve">1060, Regulamentul </w:t>
            </w:r>
            <w:r w:rsidR="00746FB0">
              <w:rPr>
                <w:lang w:eastAsia="en-GB"/>
              </w:rPr>
              <w:t xml:space="preserve">(UE) 2021/1057 </w:t>
            </w:r>
            <w:r w:rsidR="00ED338A">
              <w:rPr>
                <w:lang w:eastAsia="en-GB"/>
              </w:rPr>
              <w:t>privind Fondul social european P</w:t>
            </w:r>
            <w:r w:rsidR="00870034">
              <w:rPr>
                <w:lang w:eastAsia="en-GB"/>
              </w:rPr>
              <w:t xml:space="preserve">lus </w:t>
            </w:r>
            <w:r w:rsidR="00ED338A">
              <w:rPr>
                <w:lang w:eastAsia="en-GB"/>
              </w:rPr>
              <w:t xml:space="preserve">stabilește ca neeligibilă cheltuiala cu achiziția de terenuri. În scopul asigurării </w:t>
            </w:r>
            <w:r w:rsidR="00DB6703">
              <w:rPr>
                <w:lang w:eastAsia="en-GB"/>
              </w:rPr>
              <w:t xml:space="preserve">utilizării </w:t>
            </w:r>
            <w:r w:rsidR="00ED338A">
              <w:rPr>
                <w:lang w:eastAsia="en-GB"/>
              </w:rPr>
              <w:t>eficiente a fondurilor</w:t>
            </w:r>
            <w:r w:rsidR="00DB6703">
              <w:rPr>
                <w:lang w:eastAsia="en-GB"/>
              </w:rPr>
              <w:t xml:space="preserve">, hotărârea prevede condiția </w:t>
            </w:r>
            <w:r w:rsidR="00BB48BD">
              <w:rPr>
                <w:lang w:eastAsia="en-GB"/>
              </w:rPr>
              <w:t xml:space="preserve">referitoare la certificarea de către un evaluator independent a costului </w:t>
            </w:r>
            <w:r w:rsidR="00FF2B4D">
              <w:rPr>
                <w:lang w:eastAsia="en-GB"/>
              </w:rPr>
              <w:t xml:space="preserve">de achiziție al </w:t>
            </w:r>
            <w:r w:rsidR="00BB48BD">
              <w:rPr>
                <w:lang w:eastAsia="en-GB"/>
              </w:rPr>
              <w:t>terenului.</w:t>
            </w:r>
            <w:r w:rsidR="00DB6703">
              <w:rPr>
                <w:lang w:eastAsia="en-GB"/>
              </w:rPr>
              <w:t xml:space="preserve"> </w:t>
            </w:r>
            <w:r w:rsidR="005B0238">
              <w:rPr>
                <w:lang w:eastAsia="en-GB"/>
              </w:rPr>
              <w:t xml:space="preserve"> </w:t>
            </w:r>
          </w:p>
          <w:p w14:paraId="6E0B014F" w14:textId="34F7B48C" w:rsidR="00BB48BD" w:rsidRDefault="00BB48BD" w:rsidP="002C62AA">
            <w:pPr>
              <w:autoSpaceDE w:val="0"/>
              <w:autoSpaceDN w:val="0"/>
              <w:adjustRightInd w:val="0"/>
              <w:ind w:firstLine="317"/>
              <w:jc w:val="both"/>
              <w:rPr>
                <w:lang w:eastAsia="en-GB"/>
              </w:rPr>
            </w:pPr>
            <w:r>
              <w:rPr>
                <w:lang w:eastAsia="en-GB"/>
              </w:rPr>
              <w:t>Având în vedere că Regulamentul</w:t>
            </w:r>
            <w:r w:rsidR="0094773E">
              <w:rPr>
                <w:lang w:eastAsia="en-GB"/>
              </w:rPr>
              <w:t xml:space="preserve"> (UE) 2021/1060</w:t>
            </w:r>
            <w:r>
              <w:rPr>
                <w:lang w:eastAsia="en-GB"/>
              </w:rPr>
              <w:t xml:space="preserve"> prevede condiția de păstrare a investiției pe 5 ani</w:t>
            </w:r>
            <w:r w:rsidR="004B5255">
              <w:rPr>
                <w:lang w:eastAsia="en-GB"/>
              </w:rPr>
              <w:t>,</w:t>
            </w:r>
            <w:r>
              <w:rPr>
                <w:lang w:eastAsia="en-GB"/>
              </w:rPr>
              <w:t xml:space="preserve"> potrivit art. 65</w:t>
            </w:r>
            <w:r w:rsidR="004B5255">
              <w:rPr>
                <w:lang w:eastAsia="en-GB"/>
              </w:rPr>
              <w:t xml:space="preserve"> referitor la</w:t>
            </w:r>
            <w:r>
              <w:rPr>
                <w:lang w:eastAsia="en-GB"/>
              </w:rPr>
              <w:t xml:space="preserve"> durabilitatea proiectului</w:t>
            </w:r>
            <w:r w:rsidR="006411F6">
              <w:rPr>
                <w:lang w:eastAsia="en-GB"/>
              </w:rPr>
              <w:t xml:space="preserve">, </w:t>
            </w:r>
            <w:r>
              <w:rPr>
                <w:lang w:eastAsia="en-GB"/>
              </w:rPr>
              <w:t xml:space="preserve">a fost introdusă condiția ca imobilului să nu fi fost achiziționat/construit prin intermediul unei finanțări nerambursabile </w:t>
            </w:r>
            <w:r w:rsidR="008F6F27">
              <w:rPr>
                <w:lang w:eastAsia="en-GB"/>
              </w:rPr>
              <w:t xml:space="preserve">publice </w:t>
            </w:r>
            <w:r>
              <w:rPr>
                <w:lang w:eastAsia="en-GB"/>
              </w:rPr>
              <w:t>în termenul de 5 ani anterior depunerii cererii de finanțare</w:t>
            </w:r>
            <w:r w:rsidR="0047062F">
              <w:rPr>
                <w:lang w:eastAsia="en-GB"/>
              </w:rPr>
              <w:t xml:space="preserve"> (</w:t>
            </w:r>
            <w:r w:rsidR="006D6442">
              <w:rPr>
                <w:lang w:eastAsia="en-GB"/>
              </w:rPr>
              <w:t xml:space="preserve">termenul de 5 ani este desigur </w:t>
            </w:r>
            <w:r w:rsidR="00604747">
              <w:rPr>
                <w:lang w:eastAsia="en-GB"/>
              </w:rPr>
              <w:t>stabilit</w:t>
            </w:r>
            <w:r w:rsidR="006D6442">
              <w:rPr>
                <w:lang w:eastAsia="en-GB"/>
              </w:rPr>
              <w:t xml:space="preserve"> de la </w:t>
            </w:r>
            <w:r w:rsidR="00604747">
              <w:rPr>
                <w:lang w:eastAsia="en-GB"/>
              </w:rPr>
              <w:t>momentul plății finale</w:t>
            </w:r>
            <w:r w:rsidR="004B5255">
              <w:rPr>
                <w:lang w:eastAsia="en-GB"/>
              </w:rPr>
              <w:t xml:space="preserve"> stabilit în art. 65)</w:t>
            </w:r>
            <w:r w:rsidR="0094773E">
              <w:rPr>
                <w:lang w:eastAsia="en-GB"/>
              </w:rPr>
              <w:t>.</w:t>
            </w:r>
            <w:r w:rsidR="00604747">
              <w:rPr>
                <w:lang w:eastAsia="en-GB"/>
              </w:rPr>
              <w:t xml:space="preserve">  </w:t>
            </w:r>
          </w:p>
          <w:p w14:paraId="1CD2CE4E" w14:textId="655C59E4" w:rsidR="00BB48BD" w:rsidRDefault="00BB48BD" w:rsidP="00BB48BD">
            <w:pPr>
              <w:autoSpaceDE w:val="0"/>
              <w:autoSpaceDN w:val="0"/>
              <w:adjustRightInd w:val="0"/>
              <w:ind w:firstLine="317"/>
              <w:jc w:val="both"/>
              <w:rPr>
                <w:lang w:eastAsia="en-GB"/>
              </w:rPr>
            </w:pPr>
            <w:r>
              <w:rPr>
                <w:lang w:eastAsia="en-GB"/>
              </w:rPr>
              <w:t>Și</w:t>
            </w:r>
            <w:r w:rsidR="006D6442">
              <w:rPr>
                <w:lang w:eastAsia="en-GB"/>
              </w:rPr>
              <w:t>,</w:t>
            </w:r>
            <w:r>
              <w:rPr>
                <w:lang w:eastAsia="en-GB"/>
              </w:rPr>
              <w:t xml:space="preserve"> totodată</w:t>
            </w:r>
            <w:r w:rsidR="006D6442">
              <w:rPr>
                <w:lang w:eastAsia="en-GB"/>
              </w:rPr>
              <w:t>,</w:t>
            </w:r>
            <w:r>
              <w:rPr>
                <w:lang w:eastAsia="en-GB"/>
              </w:rPr>
              <w:t xml:space="preserve"> sunt detaliate condițiile pentru achiziția de imobile deja construite.</w:t>
            </w:r>
          </w:p>
          <w:p w14:paraId="6F82CC7D" w14:textId="77777777" w:rsidR="009039F7" w:rsidRDefault="009039F7" w:rsidP="009039F7">
            <w:pPr>
              <w:autoSpaceDE w:val="0"/>
              <w:autoSpaceDN w:val="0"/>
              <w:adjustRightInd w:val="0"/>
              <w:spacing w:after="160"/>
              <w:ind w:firstLine="317"/>
              <w:jc w:val="both"/>
              <w:rPr>
                <w:lang w:eastAsia="en-GB"/>
              </w:rPr>
            </w:pPr>
          </w:p>
          <w:p w14:paraId="7B880D20" w14:textId="77777777" w:rsidR="009039F7" w:rsidRDefault="009039F7" w:rsidP="009039F7">
            <w:pPr>
              <w:autoSpaceDE w:val="0"/>
              <w:autoSpaceDN w:val="0"/>
              <w:adjustRightInd w:val="0"/>
              <w:spacing w:after="160"/>
              <w:ind w:firstLine="317"/>
              <w:jc w:val="both"/>
              <w:rPr>
                <w:lang w:eastAsia="en-GB"/>
              </w:rPr>
            </w:pPr>
          </w:p>
          <w:p w14:paraId="6666C1EB" w14:textId="07EBC8EE" w:rsidR="009272AE" w:rsidRDefault="006A5044" w:rsidP="009039F7">
            <w:pPr>
              <w:autoSpaceDE w:val="0"/>
              <w:autoSpaceDN w:val="0"/>
              <w:adjustRightInd w:val="0"/>
              <w:spacing w:after="160"/>
              <w:ind w:firstLine="317"/>
              <w:jc w:val="both"/>
              <w:rPr>
                <w:lang w:eastAsia="en-GB"/>
              </w:rPr>
            </w:pPr>
            <w:r>
              <w:rPr>
                <w:lang w:eastAsia="en-GB"/>
              </w:rPr>
              <w:t>În ceea ce privește operațiunile de leasing, sunt detaliate condițiile specifice</w:t>
            </w:r>
            <w:r w:rsidR="00D24944">
              <w:rPr>
                <w:lang w:eastAsia="en-GB"/>
              </w:rPr>
              <w:t xml:space="preserve"> de eligibilitate</w:t>
            </w:r>
            <w:r w:rsidR="00BA7890">
              <w:rPr>
                <w:lang w:eastAsia="en-GB"/>
              </w:rPr>
              <w:t>,</w:t>
            </w:r>
            <w:r w:rsidR="00D24944">
              <w:rPr>
                <w:lang w:eastAsia="en-GB"/>
              </w:rPr>
              <w:t xml:space="preserve"> care</w:t>
            </w:r>
            <w:r w:rsidR="00FF2B4D">
              <w:rPr>
                <w:lang w:eastAsia="en-GB"/>
              </w:rPr>
              <w:t>,</w:t>
            </w:r>
            <w:r w:rsidR="00BA7890">
              <w:rPr>
                <w:lang w:eastAsia="en-GB"/>
              </w:rPr>
              <w:t xml:space="preserve"> cumulate cu cele generale</w:t>
            </w:r>
            <w:r w:rsidR="00FF2B4D">
              <w:rPr>
                <w:lang w:eastAsia="en-GB"/>
              </w:rPr>
              <w:t>,</w:t>
            </w:r>
            <w:r w:rsidR="00D24944">
              <w:rPr>
                <w:lang w:eastAsia="en-GB"/>
              </w:rPr>
              <w:t xml:space="preserve"> </w:t>
            </w:r>
            <w:r w:rsidR="00BA7890">
              <w:rPr>
                <w:lang w:eastAsia="en-GB"/>
              </w:rPr>
              <w:t>trebuie îndeplinite de o cheltuială pentru a putea fi rambursată din fondurile europene.</w:t>
            </w:r>
            <w:r w:rsidR="009858E0">
              <w:rPr>
                <w:lang w:eastAsia="en-GB"/>
              </w:rPr>
              <w:t xml:space="preserve"> </w:t>
            </w:r>
          </w:p>
          <w:p w14:paraId="790B935A" w14:textId="77777777" w:rsidR="00820059" w:rsidRPr="00630E67" w:rsidRDefault="006B0CC0" w:rsidP="009039F7">
            <w:pPr>
              <w:autoSpaceDE w:val="0"/>
              <w:autoSpaceDN w:val="0"/>
              <w:adjustRightInd w:val="0"/>
              <w:spacing w:after="160"/>
              <w:ind w:firstLine="317"/>
              <w:jc w:val="both"/>
              <w:rPr>
                <w:lang w:eastAsia="en-GB"/>
              </w:rPr>
            </w:pPr>
            <w:r w:rsidRPr="00D12BAF">
              <w:rPr>
                <w:lang w:eastAsia="en-GB"/>
              </w:rPr>
              <w:t xml:space="preserve">În ceea ce privește achiziția de autovehicule </w:t>
            </w:r>
            <w:r w:rsidR="00C3339F" w:rsidRPr="00C3339F">
              <w:rPr>
                <w:lang w:eastAsia="en-GB"/>
              </w:rPr>
              <w:t xml:space="preserve">sau alte mijloace de transport, achiziţionate inclusiv prin leasing, </w:t>
            </w:r>
            <w:r w:rsidR="00C3339F" w:rsidRPr="00630E67">
              <w:rPr>
                <w:lang w:eastAsia="en-GB"/>
              </w:rPr>
              <w:t xml:space="preserve">actul normativ stabilește condițiile de eligibilitate a  acestor cheltuieli. </w:t>
            </w:r>
          </w:p>
          <w:p w14:paraId="5FAF2908" w14:textId="79B2FE46" w:rsidR="00820059" w:rsidRPr="00630E67" w:rsidRDefault="004E15BF" w:rsidP="009039F7">
            <w:pPr>
              <w:autoSpaceDE w:val="0"/>
              <w:autoSpaceDN w:val="0"/>
              <w:adjustRightInd w:val="0"/>
              <w:spacing w:after="160"/>
              <w:ind w:firstLine="317"/>
              <w:jc w:val="both"/>
              <w:rPr>
                <w:lang w:eastAsia="en-GB"/>
              </w:rPr>
            </w:pPr>
            <w:r w:rsidRPr="00630E67">
              <w:rPr>
                <w:lang w:eastAsia="en-GB"/>
              </w:rPr>
              <w:t xml:space="preserve">Conform prevederilor </w:t>
            </w:r>
            <w:r w:rsidR="009E3EC9" w:rsidRPr="00630E67">
              <w:rPr>
                <w:lang w:val="en-US"/>
              </w:rPr>
              <w:t xml:space="preserve">art. </w:t>
            </w:r>
            <w:r w:rsidR="009E3EC9" w:rsidRPr="009A20B1">
              <w:t>7 alin. (1) lit</w:t>
            </w:r>
            <w:r w:rsidR="009E3EC9" w:rsidRPr="00630E67">
              <w:rPr>
                <w:lang w:val="en-US"/>
              </w:rPr>
              <w:t xml:space="preserve">. h) din </w:t>
            </w:r>
            <w:r w:rsidR="009E3EC9" w:rsidRPr="00630E67">
              <w:rPr>
                <w:lang w:eastAsia="en-GB"/>
              </w:rPr>
              <w:t>Regulamentul (UE) 2021/1058 al Parlamentului European şi al Consiliului privind Fondul european de dezvoltare regională și Fondul de coeziune</w:t>
            </w:r>
            <w:r w:rsidR="00820059" w:rsidRPr="00630E67">
              <w:rPr>
                <w:lang w:eastAsia="en-GB"/>
              </w:rPr>
              <w:t xml:space="preserve"> sunt excluse de la finanțare din aceste fonduri</w:t>
            </w:r>
            <w:r w:rsidR="00E93BED" w:rsidRPr="00630E67">
              <w:rPr>
                <w:lang w:eastAsia="en-GB"/>
              </w:rPr>
              <w:t xml:space="preserve"> investițiile legate de producția, prelucrarea, transportul, distribuția, stocarea sau arderea combustibililor fosili, exceptând investițiile în vehiculele nepoluante de interes public, astfel cum sunt definite în Directiva 2009/33/CE a Parlamentului European și a Consiliului, așa cum a fost transpusă în Ordonanța de urgență a Guvernului nr. 71/2021 privind promovarea vehiculelor de transport rutier nepoluante, în sprijinul unei mobilități cu emisii scăzute, pentru abrogarea </w:t>
            </w:r>
            <w:bookmarkStart w:id="3" w:name="REFsp23rtd4"/>
            <w:r w:rsidR="00E93BED" w:rsidRPr="00630E67">
              <w:rPr>
                <w:lang w:eastAsia="en-GB"/>
              </w:rPr>
              <w:t>Ordonanţei de urgenţă a Guvernului nr. 40/2011 privind promovarea vehiculelor de transport rutier nepoluante şi eficiente din punct de vedere energetic şi a </w:t>
            </w:r>
            <w:bookmarkEnd w:id="3"/>
            <w:r w:rsidR="00E93BED" w:rsidRPr="00630E67">
              <w:rPr>
                <w:lang w:eastAsia="en-GB"/>
              </w:rPr>
              <w:t>Legii nr. 37/2018 privind promovarea transportului ecologic.</w:t>
            </w:r>
          </w:p>
          <w:p w14:paraId="363B150A" w14:textId="1305ABDE" w:rsidR="004E15BF" w:rsidRPr="00630E67" w:rsidRDefault="00820059" w:rsidP="009039F7">
            <w:pPr>
              <w:autoSpaceDE w:val="0"/>
              <w:autoSpaceDN w:val="0"/>
              <w:adjustRightInd w:val="0"/>
              <w:spacing w:after="160"/>
              <w:ind w:firstLine="317"/>
              <w:jc w:val="both"/>
              <w:rPr>
                <w:lang w:eastAsia="en-GB"/>
              </w:rPr>
            </w:pPr>
            <w:r w:rsidRPr="00630E67">
              <w:rPr>
                <w:lang w:eastAsia="en-GB"/>
              </w:rPr>
              <w:t xml:space="preserve">Conform prevederilor </w:t>
            </w:r>
            <w:r w:rsidR="009E3EC9" w:rsidRPr="00630E67">
              <w:rPr>
                <w:lang w:val="en-US" w:eastAsia="en-GB"/>
              </w:rPr>
              <w:t xml:space="preserve">art. 9 lit. d) </w:t>
            </w:r>
            <w:r w:rsidR="009E3EC9" w:rsidRPr="00630E67">
              <w:rPr>
                <w:lang w:eastAsia="en-GB"/>
              </w:rPr>
              <w:t xml:space="preserve">din Regulamentul (UE) 2021/1056 al Parlamentului European și al Consiliului din 24 iunie 2021 de instituire a Fondului pentru o tranziție justă </w:t>
            </w:r>
            <w:r w:rsidRPr="00630E67">
              <w:rPr>
                <w:lang w:eastAsia="en-GB"/>
              </w:rPr>
              <w:t>sunt excluse de la finanțare din acest fond investițiile legate de producția, prelucrarea, transportul, distribuția, depozitarea sau arderea combustibililor fosili.</w:t>
            </w:r>
          </w:p>
          <w:p w14:paraId="13F70337" w14:textId="506E0FC4" w:rsidR="00E93BED" w:rsidRPr="00630E67" w:rsidRDefault="00E93BED" w:rsidP="006B0CC0">
            <w:pPr>
              <w:autoSpaceDE w:val="0"/>
              <w:autoSpaceDN w:val="0"/>
              <w:adjustRightInd w:val="0"/>
              <w:ind w:firstLine="317"/>
              <w:jc w:val="both"/>
              <w:rPr>
                <w:lang w:eastAsia="en-GB"/>
              </w:rPr>
            </w:pPr>
            <w:r w:rsidRPr="00630E67">
              <w:rPr>
                <w:lang w:eastAsia="en-GB"/>
              </w:rPr>
              <w:t>Astfel, este necesar să se aibă în vedere în stabilirea eligibilității cheltuielilor exceptările stabilite prin regulamentele specifice fondurilor, sus-menționate.</w:t>
            </w:r>
          </w:p>
          <w:p w14:paraId="6E0EE4D9" w14:textId="13C42184" w:rsidR="00C3339F" w:rsidRPr="00630E67" w:rsidRDefault="00E93BED" w:rsidP="009039F7">
            <w:pPr>
              <w:autoSpaceDE w:val="0"/>
              <w:autoSpaceDN w:val="0"/>
              <w:adjustRightInd w:val="0"/>
              <w:spacing w:after="160"/>
              <w:ind w:firstLine="317"/>
              <w:jc w:val="both"/>
              <w:rPr>
                <w:lang w:eastAsia="en-GB"/>
              </w:rPr>
            </w:pPr>
            <w:r w:rsidRPr="00630E67">
              <w:rPr>
                <w:lang w:eastAsia="en-GB"/>
              </w:rPr>
              <w:t>În consecință</w:t>
            </w:r>
            <w:r w:rsidR="00C3339F" w:rsidRPr="00630E67">
              <w:rPr>
                <w:lang w:eastAsia="en-GB"/>
              </w:rPr>
              <w:t xml:space="preserve">, </w:t>
            </w:r>
            <w:r w:rsidR="002F1FD7" w:rsidRPr="00630E67">
              <w:rPr>
                <w:lang w:eastAsia="en-GB"/>
              </w:rPr>
              <w:t xml:space="preserve">cheltuiala cu achiziția de  autovehicule sau alte mijloace de transport </w:t>
            </w:r>
            <w:r w:rsidRPr="00630E67">
              <w:rPr>
                <w:lang w:eastAsia="en-GB"/>
              </w:rPr>
              <w:t xml:space="preserve">din categoria vehiculelor nepoluate </w:t>
            </w:r>
            <w:r w:rsidR="002F1FD7" w:rsidRPr="00630E67">
              <w:rPr>
                <w:lang w:eastAsia="en-GB"/>
              </w:rPr>
              <w:t>este eligibilă dacă respectă condițiile generale de eligibilitate regl</w:t>
            </w:r>
            <w:r w:rsidR="004766C1" w:rsidRPr="00630E67">
              <w:rPr>
                <w:lang w:eastAsia="en-GB"/>
              </w:rPr>
              <w:t>e</w:t>
            </w:r>
            <w:r w:rsidR="002F1FD7" w:rsidRPr="00630E67">
              <w:rPr>
                <w:lang w:eastAsia="en-GB"/>
              </w:rPr>
              <w:t>mentate la art. 2 din hotărâre</w:t>
            </w:r>
            <w:r w:rsidR="004E15BF" w:rsidRPr="00630E67">
              <w:rPr>
                <w:lang w:eastAsia="en-GB"/>
              </w:rPr>
              <w:t xml:space="preserve">, precum și </w:t>
            </w:r>
            <w:r w:rsidRPr="00630E67">
              <w:rPr>
                <w:lang w:eastAsia="en-GB"/>
              </w:rPr>
              <w:t>con</w:t>
            </w:r>
            <w:r w:rsidR="00630E67" w:rsidRPr="00630E67">
              <w:rPr>
                <w:lang w:eastAsia="en-GB"/>
              </w:rPr>
              <w:t>dițiile referitoare la scopul achiziționării acestora.</w:t>
            </w:r>
            <w:r w:rsidR="002F1FD7" w:rsidRPr="00630E67">
              <w:rPr>
                <w:lang w:eastAsia="en-GB"/>
              </w:rPr>
              <w:t xml:space="preserve"> </w:t>
            </w:r>
          </w:p>
          <w:p w14:paraId="10B52F9A" w14:textId="2EA2B257" w:rsidR="00E602E6" w:rsidRPr="00630E67" w:rsidRDefault="002C62AA" w:rsidP="009039F7">
            <w:pPr>
              <w:autoSpaceDE w:val="0"/>
              <w:autoSpaceDN w:val="0"/>
              <w:adjustRightInd w:val="0"/>
              <w:spacing w:after="160"/>
              <w:jc w:val="both"/>
              <w:rPr>
                <w:lang w:eastAsia="en-GB"/>
              </w:rPr>
            </w:pPr>
            <w:r w:rsidRPr="00630E67">
              <w:t xml:space="preserve"> </w:t>
            </w:r>
            <w:r w:rsidR="009A292B" w:rsidRPr="00630E67">
              <w:t xml:space="preserve">     </w:t>
            </w:r>
            <w:r w:rsidR="00E30917" w:rsidRPr="00630E67">
              <w:t>Regula menționată în a</w:t>
            </w:r>
            <w:r w:rsidRPr="00630E67">
              <w:t>rticolul</w:t>
            </w:r>
            <w:r w:rsidRPr="00630E67">
              <w:rPr>
                <w:lang w:eastAsia="en-GB"/>
              </w:rPr>
              <w:t xml:space="preserve"> 64 </w:t>
            </w:r>
            <w:r w:rsidRPr="00630E67">
              <w:t>din Regulamentul (UE) 2021/1060</w:t>
            </w:r>
            <w:r w:rsidRPr="00630E67">
              <w:rPr>
                <w:lang w:eastAsia="en-GB"/>
              </w:rPr>
              <w:t xml:space="preserve"> </w:t>
            </w:r>
            <w:r w:rsidR="00E30917" w:rsidRPr="00630E67">
              <w:rPr>
                <w:lang w:eastAsia="en-GB"/>
              </w:rPr>
              <w:t>stabilește neeligibilitate</w:t>
            </w:r>
            <w:r w:rsidR="00AB47DC" w:rsidRPr="00630E67">
              <w:rPr>
                <w:lang w:eastAsia="en-GB"/>
              </w:rPr>
              <w:t xml:space="preserve">a </w:t>
            </w:r>
            <w:r w:rsidRPr="00630E67">
              <w:rPr>
                <w:lang w:eastAsia="en-GB"/>
              </w:rPr>
              <w:t xml:space="preserve">taxei pe valoarea adăugată (TVA). În acest context, </w:t>
            </w:r>
            <w:r w:rsidR="00745338" w:rsidRPr="00630E67">
              <w:rPr>
                <w:lang w:eastAsia="en-GB"/>
              </w:rPr>
              <w:t xml:space="preserve">alin. (1) lit. c) al art. 64 </w:t>
            </w:r>
            <w:r w:rsidR="00E602E6" w:rsidRPr="00630E67">
              <w:rPr>
                <w:lang w:eastAsia="en-GB"/>
              </w:rPr>
              <w:t>prevede excepții</w:t>
            </w:r>
            <w:r w:rsidR="0045384E" w:rsidRPr="00630E67">
              <w:rPr>
                <w:lang w:eastAsia="en-GB"/>
              </w:rPr>
              <w:t xml:space="preserve"> în privința taxei pe valoare ad</w:t>
            </w:r>
            <w:r w:rsidR="00BB1AC4" w:rsidRPr="00630E67">
              <w:rPr>
                <w:lang w:eastAsia="en-GB"/>
              </w:rPr>
              <w:t>ă</w:t>
            </w:r>
            <w:r w:rsidR="0045384E" w:rsidRPr="00630E67">
              <w:rPr>
                <w:lang w:eastAsia="en-GB"/>
              </w:rPr>
              <w:t>ug</w:t>
            </w:r>
            <w:r w:rsidR="00773850" w:rsidRPr="00630E67">
              <w:rPr>
                <w:lang w:eastAsia="en-GB"/>
              </w:rPr>
              <w:t>at</w:t>
            </w:r>
            <w:r w:rsidR="0045384E" w:rsidRPr="00630E67">
              <w:rPr>
                <w:lang w:eastAsia="en-GB"/>
              </w:rPr>
              <w:t>ă</w:t>
            </w:r>
            <w:r w:rsidR="00E602E6" w:rsidRPr="00630E67">
              <w:rPr>
                <w:lang w:eastAsia="en-GB"/>
              </w:rPr>
              <w:t xml:space="preserve"> și stabilește cazuri</w:t>
            </w:r>
            <w:r w:rsidR="002B4DBE" w:rsidRPr="00630E67">
              <w:rPr>
                <w:lang w:eastAsia="en-GB"/>
              </w:rPr>
              <w:t>le</w:t>
            </w:r>
            <w:r w:rsidR="00E602E6" w:rsidRPr="00630E67">
              <w:rPr>
                <w:lang w:eastAsia="en-GB"/>
              </w:rPr>
              <w:t xml:space="preserve"> în care </w:t>
            </w:r>
            <w:r w:rsidRPr="00630E67">
              <w:rPr>
                <w:lang w:eastAsia="en-GB"/>
              </w:rPr>
              <w:t>cheltuiala este eligibilă</w:t>
            </w:r>
            <w:r w:rsidR="00E602E6" w:rsidRPr="00630E67">
              <w:rPr>
                <w:lang w:eastAsia="en-GB"/>
              </w:rPr>
              <w:t xml:space="preserve">. </w:t>
            </w:r>
          </w:p>
          <w:p w14:paraId="51EF19C7" w14:textId="77777777" w:rsidR="0029394F" w:rsidRPr="00630E67" w:rsidRDefault="00307D55" w:rsidP="009039F7">
            <w:pPr>
              <w:autoSpaceDE w:val="0"/>
              <w:autoSpaceDN w:val="0"/>
              <w:adjustRightInd w:val="0"/>
              <w:spacing w:after="160"/>
              <w:jc w:val="both"/>
            </w:pPr>
            <w:r w:rsidRPr="00630E67">
              <w:rPr>
                <w:lang w:eastAsia="en-GB"/>
              </w:rPr>
              <w:t xml:space="preserve">      </w:t>
            </w:r>
            <w:r w:rsidR="00E602E6" w:rsidRPr="00630E67">
              <w:rPr>
                <w:lang w:eastAsia="en-GB"/>
              </w:rPr>
              <w:t>Astfel, cheltuiala cu taxa pe valoare adăugată este eligibilă</w:t>
            </w:r>
            <w:r w:rsidR="002C62AA" w:rsidRPr="00630E67">
              <w:rPr>
                <w:lang w:eastAsia="en-GB"/>
              </w:rPr>
              <w:t xml:space="preserve"> dacă este</w:t>
            </w:r>
            <w:r w:rsidR="002C62AA" w:rsidRPr="00630E67">
              <w:t xml:space="preserve"> aferentă unor cheltuieli eligibile efectuate în cadrul proiectelor </w:t>
            </w:r>
            <w:r w:rsidR="00132265" w:rsidRPr="00630E67">
              <w:t>finanțate</w:t>
            </w:r>
            <w:r w:rsidR="002C62AA" w:rsidRPr="00630E67">
              <w:t xml:space="preserve"> din fonduri</w:t>
            </w:r>
            <w:r w:rsidR="00E36679" w:rsidRPr="00630E67">
              <w:t xml:space="preserve"> europene</w:t>
            </w:r>
            <w:r w:rsidR="002C62AA" w:rsidRPr="00630E67">
              <w:t xml:space="preserve"> și dacă sunt respectate </w:t>
            </w:r>
            <w:r w:rsidR="00132265" w:rsidRPr="00630E67">
              <w:t xml:space="preserve">anumite </w:t>
            </w:r>
            <w:r w:rsidR="002C62AA" w:rsidRPr="00630E67">
              <w:t>condiții</w:t>
            </w:r>
            <w:r w:rsidR="00132265" w:rsidRPr="00630E67">
              <w:t>.</w:t>
            </w:r>
            <w:r w:rsidR="000A3FDC" w:rsidRPr="00630E67">
              <w:t xml:space="preserve"> </w:t>
            </w:r>
          </w:p>
          <w:p w14:paraId="57E980BA" w14:textId="6B1A2B8F" w:rsidR="000B3AF2" w:rsidRPr="00630E67" w:rsidRDefault="003C4001" w:rsidP="009039F7">
            <w:pPr>
              <w:autoSpaceDE w:val="0"/>
              <w:autoSpaceDN w:val="0"/>
              <w:adjustRightInd w:val="0"/>
              <w:spacing w:after="160"/>
              <w:jc w:val="both"/>
            </w:pPr>
            <w:r w:rsidRPr="00630E67">
              <w:t xml:space="preserve">     </w:t>
            </w:r>
            <w:r w:rsidR="000A3FDC" w:rsidRPr="00630E67">
              <w:t xml:space="preserve">În ceea ce privește operațiunile a căror valoare totală este mai mică decât echivalentul a 5.000.000 euro, inclusiv </w:t>
            </w:r>
            <w:r w:rsidR="00D7049A" w:rsidRPr="00630E67">
              <w:t>taxa pe valoare adăugată</w:t>
            </w:r>
            <w:r w:rsidR="0029394F" w:rsidRPr="00630E67">
              <w:t xml:space="preserve">, stabilită de regulament ca fiind eligibilă, în scopul evitării dublei finanțări, pentru acei beneficiari care pot recupera TVA, </w:t>
            </w:r>
            <w:r w:rsidR="0029394F" w:rsidRPr="00630E67">
              <w:rPr>
                <w:color w:val="000000"/>
                <w:lang w:eastAsia="en-GB"/>
              </w:rPr>
              <w:t>se stab</w:t>
            </w:r>
            <w:r w:rsidR="00AA57E6" w:rsidRPr="00630E67">
              <w:rPr>
                <w:color w:val="000000"/>
                <w:lang w:eastAsia="en-GB"/>
              </w:rPr>
              <w:t>ilește</w:t>
            </w:r>
            <w:r w:rsidR="0029394F" w:rsidRPr="00630E67">
              <w:rPr>
                <w:color w:val="000000"/>
                <w:lang w:eastAsia="en-GB"/>
              </w:rPr>
              <w:t xml:space="preserve"> </w:t>
            </w:r>
            <w:r w:rsidR="00AA57E6" w:rsidRPr="00630E67">
              <w:rPr>
                <w:color w:val="000000"/>
                <w:lang w:eastAsia="en-GB"/>
              </w:rPr>
              <w:t>condiția</w:t>
            </w:r>
            <w:r w:rsidR="0029394F" w:rsidRPr="00630E67">
              <w:rPr>
                <w:color w:val="000000"/>
                <w:lang w:eastAsia="en-GB"/>
              </w:rPr>
              <w:t xml:space="preserve"> </w:t>
            </w:r>
            <w:r w:rsidR="00014BA3">
              <w:rPr>
                <w:color w:val="000000"/>
                <w:lang w:eastAsia="en-GB"/>
              </w:rPr>
              <w:t xml:space="preserve">ca beneficiarul să nu aducă taxa </w:t>
            </w:r>
            <w:r w:rsidR="00306B32">
              <w:rPr>
                <w:color w:val="000000"/>
                <w:lang w:eastAsia="en-GB"/>
              </w:rPr>
              <w:t xml:space="preserve">pe valoare adăugată </w:t>
            </w:r>
            <w:r w:rsidR="0029394F" w:rsidRPr="00630E67">
              <w:rPr>
                <w:color w:val="000000"/>
                <w:lang w:eastAsia="en-GB"/>
              </w:rPr>
              <w:t>spre de</w:t>
            </w:r>
            <w:r w:rsidR="00B46D6B" w:rsidRPr="00630E67">
              <w:rPr>
                <w:color w:val="000000"/>
                <w:lang w:eastAsia="en-GB"/>
              </w:rPr>
              <w:t>ducere</w:t>
            </w:r>
            <w:r w:rsidR="0029394F" w:rsidRPr="00630E67">
              <w:rPr>
                <w:color w:val="000000"/>
                <w:lang w:eastAsia="en-GB"/>
              </w:rPr>
              <w:t xml:space="preserve"> conform Legii </w:t>
            </w:r>
            <w:r w:rsidR="001B4A74" w:rsidRPr="00630E67">
              <w:rPr>
                <w:color w:val="000000"/>
                <w:lang w:eastAsia="en-GB"/>
              </w:rPr>
              <w:t>nr. 227/2015 privind Codul fiscal, cu modificările și completările ulterioare.</w:t>
            </w:r>
          </w:p>
          <w:p w14:paraId="41F724A8" w14:textId="6B879939" w:rsidR="00BF6EC2" w:rsidRPr="00630E67" w:rsidRDefault="000A3FDC" w:rsidP="009039F7">
            <w:pPr>
              <w:autoSpaceDE w:val="0"/>
              <w:autoSpaceDN w:val="0"/>
              <w:adjustRightInd w:val="0"/>
              <w:spacing w:after="160"/>
              <w:jc w:val="both"/>
              <w:rPr>
                <w:color w:val="000000"/>
                <w:lang w:eastAsia="en-GB"/>
              </w:rPr>
            </w:pPr>
            <w:r w:rsidRPr="00630E67">
              <w:rPr>
                <w:lang w:eastAsia="en-GB"/>
              </w:rPr>
              <w:t xml:space="preserve">     </w:t>
            </w:r>
            <w:r w:rsidR="009A292B" w:rsidRPr="00630E67">
              <w:rPr>
                <w:lang w:eastAsia="en-GB"/>
              </w:rPr>
              <w:t xml:space="preserve"> </w:t>
            </w:r>
            <w:r w:rsidR="00D7049A" w:rsidRPr="00630E67">
              <w:rPr>
                <w:lang w:eastAsia="en-GB"/>
              </w:rPr>
              <w:t xml:space="preserve">Referitor la operațiunile a căror valoare totală este mai mare decât echivalentul a 5.000.000 euro, inclusiv </w:t>
            </w:r>
            <w:r w:rsidR="00F228FC" w:rsidRPr="00630E67">
              <w:rPr>
                <w:lang w:eastAsia="en-GB"/>
              </w:rPr>
              <w:t>taxa pe valoare adăugată</w:t>
            </w:r>
            <w:r w:rsidR="00D7049A" w:rsidRPr="00630E67">
              <w:rPr>
                <w:lang w:eastAsia="en-GB"/>
              </w:rPr>
              <w:t xml:space="preserve">, cheltuiala cu </w:t>
            </w:r>
            <w:r w:rsidR="00BF6EC2" w:rsidRPr="00630E67">
              <w:rPr>
                <w:color w:val="000000"/>
                <w:lang w:eastAsia="en-GB"/>
              </w:rPr>
              <w:lastRenderedPageBreak/>
              <w:t xml:space="preserve">TVA este eligibilă numai </w:t>
            </w:r>
            <w:r w:rsidR="007F635C" w:rsidRPr="00630E67">
              <w:rPr>
                <w:color w:val="000000"/>
                <w:lang w:eastAsia="en-GB"/>
              </w:rPr>
              <w:t>î</w:t>
            </w:r>
            <w:r w:rsidR="00BF6EC2" w:rsidRPr="00630E67">
              <w:rPr>
                <w:color w:val="000000"/>
                <w:lang w:eastAsia="en-GB"/>
              </w:rPr>
              <w:t xml:space="preserve">n cazul </w:t>
            </w:r>
            <w:r w:rsidR="007F635C" w:rsidRPr="00630E67">
              <w:rPr>
                <w:color w:val="000000"/>
                <w:lang w:eastAsia="en-GB"/>
              </w:rPr>
              <w:t>î</w:t>
            </w:r>
            <w:r w:rsidR="00BF6EC2" w:rsidRPr="00630E67">
              <w:rPr>
                <w:color w:val="000000"/>
                <w:lang w:eastAsia="en-GB"/>
              </w:rPr>
              <w:t>n care beneficiarul nu poate recupera ch</w:t>
            </w:r>
            <w:r w:rsidR="007F635C" w:rsidRPr="00630E67">
              <w:rPr>
                <w:color w:val="000000"/>
                <w:lang w:eastAsia="en-GB"/>
              </w:rPr>
              <w:t>e</w:t>
            </w:r>
            <w:r w:rsidR="00BF6EC2" w:rsidRPr="00630E67">
              <w:rPr>
                <w:color w:val="000000"/>
                <w:lang w:eastAsia="en-GB"/>
              </w:rPr>
              <w:t>ltuiala conform legisla</w:t>
            </w:r>
            <w:r w:rsidR="007F635C" w:rsidRPr="00630E67">
              <w:rPr>
                <w:color w:val="000000"/>
                <w:lang w:eastAsia="en-GB"/>
              </w:rPr>
              <w:t>ț</w:t>
            </w:r>
            <w:r w:rsidR="00BF6EC2" w:rsidRPr="00630E67">
              <w:rPr>
                <w:color w:val="000000"/>
                <w:lang w:eastAsia="en-GB"/>
              </w:rPr>
              <w:t xml:space="preserve">iei TVA. </w:t>
            </w:r>
            <w:r w:rsidR="000D3960" w:rsidRPr="00630E67">
              <w:rPr>
                <w:color w:val="000000"/>
                <w:lang w:eastAsia="en-GB"/>
              </w:rPr>
              <w:t>Î</w:t>
            </w:r>
            <w:r w:rsidR="00BF6EC2" w:rsidRPr="00630E67">
              <w:rPr>
                <w:color w:val="000000"/>
                <w:lang w:eastAsia="en-GB"/>
              </w:rPr>
              <w:t xml:space="preserve">n aceste </w:t>
            </w:r>
            <w:r w:rsidR="000D3960" w:rsidRPr="00630E67">
              <w:rPr>
                <w:color w:val="000000"/>
                <w:lang w:eastAsia="en-GB"/>
              </w:rPr>
              <w:t>situații</w:t>
            </w:r>
            <w:r w:rsidR="00BF6EC2" w:rsidRPr="00630E67">
              <w:rPr>
                <w:color w:val="000000"/>
                <w:lang w:eastAsia="en-GB"/>
              </w:rPr>
              <w:t xml:space="preserve">, </w:t>
            </w:r>
            <w:r w:rsidR="00E643F7" w:rsidRPr="00630E67">
              <w:rPr>
                <w:color w:val="000000"/>
                <w:lang w:eastAsia="en-GB"/>
              </w:rPr>
              <w:t>î</w:t>
            </w:r>
            <w:r w:rsidR="00BF6EC2" w:rsidRPr="00630E67">
              <w:rPr>
                <w:color w:val="000000"/>
                <w:lang w:eastAsia="en-GB"/>
              </w:rPr>
              <w:t xml:space="preserve">n scopul stabilirii caracterului </w:t>
            </w:r>
            <w:r w:rsidR="00E033A6" w:rsidRPr="00630E67">
              <w:rPr>
                <w:color w:val="000000"/>
                <w:lang w:eastAsia="en-GB"/>
              </w:rPr>
              <w:t>ne</w:t>
            </w:r>
            <w:r w:rsidR="00BF6EC2" w:rsidRPr="00630E67">
              <w:rPr>
                <w:color w:val="000000"/>
                <w:lang w:eastAsia="en-GB"/>
              </w:rPr>
              <w:t>recup</w:t>
            </w:r>
            <w:r w:rsidR="00E643F7" w:rsidRPr="00630E67">
              <w:rPr>
                <w:color w:val="000000"/>
                <w:lang w:eastAsia="en-GB"/>
              </w:rPr>
              <w:t>erabil</w:t>
            </w:r>
            <w:r w:rsidR="00BF6EC2" w:rsidRPr="00630E67">
              <w:rPr>
                <w:color w:val="000000"/>
                <w:lang w:eastAsia="en-GB"/>
              </w:rPr>
              <w:t xml:space="preserve"> al TVA,</w:t>
            </w:r>
            <w:r w:rsidR="00E033A6" w:rsidRPr="00630E67">
              <w:rPr>
                <w:color w:val="000000"/>
                <w:lang w:eastAsia="en-GB"/>
              </w:rPr>
              <w:t xml:space="preserve"> hotărârea stabilește emiterea de </w:t>
            </w:r>
            <w:r w:rsidR="0089665D" w:rsidRPr="00630E67">
              <w:rPr>
                <w:color w:val="000000"/>
                <w:lang w:eastAsia="en-GB"/>
              </w:rPr>
              <w:t>instrucțiuni</w:t>
            </w:r>
            <w:r w:rsidR="00BF6EC2" w:rsidRPr="00630E67">
              <w:rPr>
                <w:color w:val="000000"/>
                <w:lang w:eastAsia="en-GB"/>
              </w:rPr>
              <w:t xml:space="preserve"> de aplicare</w:t>
            </w:r>
            <w:r w:rsidR="009B042F">
              <w:rPr>
                <w:color w:val="000000"/>
                <w:lang w:eastAsia="en-GB"/>
              </w:rPr>
              <w:t xml:space="preserve"> pentru art.9</w:t>
            </w:r>
            <w:r w:rsidR="0089665D" w:rsidRPr="00630E67">
              <w:rPr>
                <w:color w:val="000000"/>
                <w:lang w:eastAsia="en-GB"/>
              </w:rPr>
              <w:t>,</w:t>
            </w:r>
            <w:r w:rsidR="00BF6EC2" w:rsidRPr="00630E67">
              <w:rPr>
                <w:color w:val="000000"/>
                <w:lang w:eastAsia="en-GB"/>
              </w:rPr>
              <w:t xml:space="preserve"> elabo</w:t>
            </w:r>
            <w:r w:rsidR="0089665D" w:rsidRPr="00630E67">
              <w:rPr>
                <w:color w:val="000000"/>
                <w:lang w:eastAsia="en-GB"/>
              </w:rPr>
              <w:t>r</w:t>
            </w:r>
            <w:r w:rsidR="00BF6EC2" w:rsidRPr="00630E67">
              <w:rPr>
                <w:color w:val="000000"/>
                <w:lang w:eastAsia="en-GB"/>
              </w:rPr>
              <w:t>ate prin ordin comun</w:t>
            </w:r>
            <w:r w:rsidR="0089665D" w:rsidRPr="00630E67">
              <w:rPr>
                <w:color w:val="000000"/>
                <w:lang w:eastAsia="en-GB"/>
              </w:rPr>
              <w:t xml:space="preserve"> al ministrului investițiilor și proiectelor europene </w:t>
            </w:r>
            <w:r w:rsidR="00E56C89" w:rsidRPr="00630E67">
              <w:rPr>
                <w:color w:val="000000"/>
                <w:lang w:eastAsia="en-GB"/>
              </w:rPr>
              <w:t>și</w:t>
            </w:r>
            <w:r w:rsidR="0089665D" w:rsidRPr="00630E67">
              <w:rPr>
                <w:color w:val="000000"/>
                <w:lang w:eastAsia="en-GB"/>
              </w:rPr>
              <w:t xml:space="preserve"> al ministrului </w:t>
            </w:r>
            <w:r w:rsidR="00E56C89" w:rsidRPr="00630E67">
              <w:rPr>
                <w:color w:val="000000"/>
                <w:lang w:eastAsia="en-GB"/>
              </w:rPr>
              <w:t>finanțelor.</w:t>
            </w:r>
          </w:p>
          <w:p w14:paraId="3B9856A1" w14:textId="6C51E814" w:rsidR="00BF6EC2" w:rsidRPr="00630E67" w:rsidRDefault="00E56C89" w:rsidP="00BF6EC2">
            <w:pPr>
              <w:autoSpaceDE w:val="0"/>
              <w:autoSpaceDN w:val="0"/>
              <w:adjustRightInd w:val="0"/>
              <w:spacing w:after="120"/>
              <w:jc w:val="both"/>
              <w:rPr>
                <w:color w:val="000000"/>
                <w:lang w:eastAsia="en-GB"/>
              </w:rPr>
            </w:pPr>
            <w:r w:rsidRPr="00630E67">
              <w:rPr>
                <w:color w:val="000000"/>
                <w:lang w:eastAsia="en-GB"/>
              </w:rPr>
              <w:t xml:space="preserve">     </w:t>
            </w:r>
            <w:r w:rsidR="001D68DA" w:rsidRPr="00630E67">
              <w:rPr>
                <w:color w:val="000000"/>
                <w:lang w:eastAsia="en-GB"/>
              </w:rPr>
              <w:t>Totodată</w:t>
            </w:r>
            <w:r w:rsidR="00BF6EC2" w:rsidRPr="00630E67">
              <w:rPr>
                <w:color w:val="000000"/>
                <w:lang w:eastAsia="en-GB"/>
              </w:rPr>
              <w:t>, regulam</w:t>
            </w:r>
            <w:r w:rsidR="001D68DA" w:rsidRPr="00630E67">
              <w:rPr>
                <w:color w:val="000000"/>
                <w:lang w:eastAsia="en-GB"/>
              </w:rPr>
              <w:t xml:space="preserve">entul </w:t>
            </w:r>
            <w:r w:rsidR="00BF6EC2" w:rsidRPr="00630E67">
              <w:rPr>
                <w:color w:val="000000"/>
                <w:lang w:eastAsia="en-GB"/>
              </w:rPr>
              <w:t>stabile</w:t>
            </w:r>
            <w:r w:rsidR="00564A0B" w:rsidRPr="00630E67">
              <w:rPr>
                <w:color w:val="000000"/>
                <w:lang w:eastAsia="en-GB"/>
              </w:rPr>
              <w:t>ș</w:t>
            </w:r>
            <w:r w:rsidR="00BF6EC2" w:rsidRPr="00630E67">
              <w:rPr>
                <w:color w:val="000000"/>
                <w:lang w:eastAsia="en-GB"/>
              </w:rPr>
              <w:t>te</w:t>
            </w:r>
            <w:r w:rsidR="00564A0B" w:rsidRPr="00630E67">
              <w:rPr>
                <w:color w:val="000000"/>
                <w:lang w:eastAsia="en-GB"/>
              </w:rPr>
              <w:t>,</w:t>
            </w:r>
            <w:r w:rsidR="00BF6EC2" w:rsidRPr="00630E67">
              <w:rPr>
                <w:color w:val="000000"/>
                <w:lang w:eastAsia="en-GB"/>
              </w:rPr>
              <w:t xml:space="preserve"> prin excep</w:t>
            </w:r>
            <w:r w:rsidR="00564A0B" w:rsidRPr="00630E67">
              <w:rPr>
                <w:color w:val="000000"/>
                <w:lang w:eastAsia="en-GB"/>
              </w:rPr>
              <w:t>ț</w:t>
            </w:r>
            <w:r w:rsidR="00BF6EC2" w:rsidRPr="00630E67">
              <w:rPr>
                <w:color w:val="000000"/>
                <w:lang w:eastAsia="en-GB"/>
              </w:rPr>
              <w:t>ie</w:t>
            </w:r>
            <w:r w:rsidR="00564A0B" w:rsidRPr="00630E67">
              <w:rPr>
                <w:color w:val="000000"/>
                <w:lang w:eastAsia="en-GB"/>
              </w:rPr>
              <w:t>,</w:t>
            </w:r>
            <w:r w:rsidR="00BF6EC2" w:rsidRPr="00630E67">
              <w:rPr>
                <w:color w:val="000000"/>
                <w:lang w:eastAsia="en-GB"/>
              </w:rPr>
              <w:t xml:space="preserve"> eligibilitatea TVA aferent</w:t>
            </w:r>
            <w:r w:rsidR="00564A0B" w:rsidRPr="00630E67">
              <w:rPr>
                <w:color w:val="000000"/>
                <w:lang w:eastAsia="en-GB"/>
              </w:rPr>
              <w:t>ă</w:t>
            </w:r>
            <w:r w:rsidR="00BF6EC2" w:rsidRPr="00630E67">
              <w:rPr>
                <w:color w:val="000000"/>
                <w:lang w:eastAsia="en-GB"/>
              </w:rPr>
              <w:t xml:space="preserve"> investi</w:t>
            </w:r>
            <w:r w:rsidR="00564A0B" w:rsidRPr="00630E67">
              <w:rPr>
                <w:color w:val="000000"/>
                <w:lang w:eastAsia="en-GB"/>
              </w:rPr>
              <w:t>ț</w:t>
            </w:r>
            <w:r w:rsidR="00BF6EC2" w:rsidRPr="00630E67">
              <w:rPr>
                <w:color w:val="000000"/>
                <w:lang w:eastAsia="en-GB"/>
              </w:rPr>
              <w:t xml:space="preserve">iilor destinatarilor finali ai instrumentelor financiare. </w:t>
            </w:r>
            <w:r w:rsidR="00DB08AA" w:rsidRPr="00630E67">
              <w:rPr>
                <w:color w:val="000000"/>
                <w:lang w:eastAsia="en-GB"/>
              </w:rPr>
              <w:t>Î</w:t>
            </w:r>
            <w:r w:rsidR="00BF6EC2" w:rsidRPr="00630E67">
              <w:rPr>
                <w:color w:val="000000"/>
                <w:lang w:eastAsia="en-GB"/>
              </w:rPr>
              <w:t xml:space="preserve">n schimb, </w:t>
            </w:r>
            <w:r w:rsidR="00DB08AA" w:rsidRPr="00630E67">
              <w:rPr>
                <w:color w:val="000000"/>
                <w:lang w:eastAsia="en-GB"/>
              </w:rPr>
              <w:t>î</w:t>
            </w:r>
            <w:r w:rsidR="00BF6EC2" w:rsidRPr="00630E67">
              <w:rPr>
                <w:color w:val="000000"/>
                <w:lang w:eastAsia="en-GB"/>
              </w:rPr>
              <w:t>n cazul</w:t>
            </w:r>
            <w:r w:rsidR="00DB08AA" w:rsidRPr="00630E67">
              <w:rPr>
                <w:color w:val="000000"/>
                <w:lang w:eastAsia="en-GB"/>
              </w:rPr>
              <w:t xml:space="preserve"> î</w:t>
            </w:r>
            <w:r w:rsidR="00BF6EC2" w:rsidRPr="00630E67">
              <w:rPr>
                <w:color w:val="000000"/>
                <w:lang w:eastAsia="en-GB"/>
              </w:rPr>
              <w:t>n care ace</w:t>
            </w:r>
            <w:r w:rsidR="00DB08AA" w:rsidRPr="00630E67">
              <w:rPr>
                <w:color w:val="000000"/>
                <w:lang w:eastAsia="en-GB"/>
              </w:rPr>
              <w:t>ș</w:t>
            </w:r>
            <w:r w:rsidR="00BF6EC2" w:rsidRPr="00630E67">
              <w:rPr>
                <w:color w:val="000000"/>
                <w:lang w:eastAsia="en-GB"/>
              </w:rPr>
              <w:t>tia derul</w:t>
            </w:r>
            <w:r w:rsidR="00DB08AA" w:rsidRPr="00630E67">
              <w:rPr>
                <w:color w:val="000000"/>
                <w:lang w:eastAsia="en-GB"/>
              </w:rPr>
              <w:t>e</w:t>
            </w:r>
            <w:r w:rsidR="00BF6EC2" w:rsidRPr="00630E67">
              <w:rPr>
                <w:color w:val="000000"/>
                <w:lang w:eastAsia="en-GB"/>
              </w:rPr>
              <w:t>az</w:t>
            </w:r>
            <w:r w:rsidR="00DB08AA" w:rsidRPr="00630E67">
              <w:rPr>
                <w:color w:val="000000"/>
                <w:lang w:eastAsia="en-GB"/>
              </w:rPr>
              <w:t>ă</w:t>
            </w:r>
            <w:r w:rsidR="00BF6EC2" w:rsidRPr="00630E67">
              <w:rPr>
                <w:color w:val="000000"/>
                <w:lang w:eastAsia="en-GB"/>
              </w:rPr>
              <w:t xml:space="preserve"> </w:t>
            </w:r>
            <w:r w:rsidR="00ED15EF" w:rsidRPr="00630E67">
              <w:rPr>
                <w:color w:val="000000"/>
                <w:lang w:eastAsia="en-GB"/>
              </w:rPr>
              <w:t>investiția</w:t>
            </w:r>
            <w:r w:rsidR="00BF6EC2" w:rsidRPr="00630E67">
              <w:rPr>
                <w:color w:val="000000"/>
                <w:lang w:eastAsia="en-GB"/>
              </w:rPr>
              <w:t xml:space="preserve"> cu sprijin combinat sub forma de grant, condi</w:t>
            </w:r>
            <w:r w:rsidR="00ED15EF" w:rsidRPr="00630E67">
              <w:rPr>
                <w:color w:val="000000"/>
                <w:lang w:eastAsia="en-GB"/>
              </w:rPr>
              <w:t>țiile</w:t>
            </w:r>
            <w:r w:rsidR="00BF6EC2" w:rsidRPr="00630E67">
              <w:rPr>
                <w:color w:val="000000"/>
                <w:lang w:eastAsia="en-GB"/>
              </w:rPr>
              <w:t xml:space="preserve"> de eligi</w:t>
            </w:r>
            <w:r w:rsidR="00ED15EF" w:rsidRPr="00630E67">
              <w:rPr>
                <w:color w:val="000000"/>
                <w:lang w:eastAsia="en-GB"/>
              </w:rPr>
              <w:t>bilitate</w:t>
            </w:r>
            <w:r w:rsidR="00BF6EC2" w:rsidRPr="00630E67">
              <w:rPr>
                <w:color w:val="000000"/>
                <w:lang w:eastAsia="en-GB"/>
              </w:rPr>
              <w:t xml:space="preserve"> men</w:t>
            </w:r>
            <w:r w:rsidR="00ED15EF" w:rsidRPr="00630E67">
              <w:rPr>
                <w:color w:val="000000"/>
                <w:lang w:eastAsia="en-GB"/>
              </w:rPr>
              <w:t>ționate</w:t>
            </w:r>
            <w:r w:rsidR="00BF6EC2" w:rsidRPr="00630E67">
              <w:rPr>
                <w:color w:val="000000"/>
                <w:lang w:eastAsia="en-GB"/>
              </w:rPr>
              <w:t xml:space="preserve"> mai sus sunt aplicabile componentei de grant a sprijinului </w:t>
            </w:r>
            <w:r w:rsidR="00ED15EF" w:rsidRPr="00630E67">
              <w:rPr>
                <w:color w:val="000000"/>
                <w:lang w:eastAsia="en-GB"/>
              </w:rPr>
              <w:t>î</w:t>
            </w:r>
            <w:r w:rsidR="00BF6EC2" w:rsidRPr="00630E67">
              <w:rPr>
                <w:color w:val="000000"/>
                <w:lang w:eastAsia="en-GB"/>
              </w:rPr>
              <w:t xml:space="preserve">n </w:t>
            </w:r>
            <w:r w:rsidR="00ED15EF" w:rsidRPr="00630E67">
              <w:rPr>
                <w:color w:val="000000"/>
                <w:lang w:eastAsia="en-GB"/>
              </w:rPr>
              <w:t>funcție</w:t>
            </w:r>
            <w:r w:rsidR="00BF6EC2" w:rsidRPr="00630E67">
              <w:rPr>
                <w:color w:val="000000"/>
                <w:lang w:eastAsia="en-GB"/>
              </w:rPr>
              <w:t xml:space="preserve"> de valoarea grantului.</w:t>
            </w:r>
          </w:p>
          <w:p w14:paraId="51530BD8" w14:textId="572F5B09" w:rsidR="00687C21" w:rsidRPr="00630E67" w:rsidRDefault="008D4B8D" w:rsidP="00687C21">
            <w:pPr>
              <w:autoSpaceDE w:val="0"/>
              <w:autoSpaceDN w:val="0"/>
              <w:adjustRightInd w:val="0"/>
              <w:spacing w:after="120"/>
              <w:jc w:val="both"/>
            </w:pPr>
            <w:r w:rsidRPr="00630E67">
              <w:t xml:space="preserve">     </w:t>
            </w:r>
            <w:r w:rsidR="00460757" w:rsidRPr="00630E67">
              <w:t>Condițiile de eligibilitate stabilite prin prezenta hotărâre vizează diferite etapele de implementare ale unui proiect. În acest context, este necesar ca a</w:t>
            </w:r>
            <w:r w:rsidR="00410A6C" w:rsidRPr="00630E67">
              <w:t>utoritățile</w:t>
            </w:r>
            <w:r w:rsidR="00687C21" w:rsidRPr="00630E67">
              <w:t xml:space="preserve"> de management </w:t>
            </w:r>
            <w:r w:rsidR="00460757" w:rsidRPr="00630E67">
              <w:t xml:space="preserve">să efectueze verificări cu privire la </w:t>
            </w:r>
            <w:r w:rsidR="00687C21" w:rsidRPr="00630E67">
              <w:t>respect</w:t>
            </w:r>
            <w:r w:rsidR="00460757" w:rsidRPr="00630E67">
              <w:t>area acestora î</w:t>
            </w:r>
            <w:r w:rsidR="00687C21" w:rsidRPr="00630E67">
              <w:t xml:space="preserve">n procesul de evaluare a cererilor de </w:t>
            </w:r>
            <w:r w:rsidR="004E3C14" w:rsidRPr="00630E67">
              <w:t>finanțare</w:t>
            </w:r>
            <w:r w:rsidR="00687C21" w:rsidRPr="00630E67">
              <w:t>, în procesul de contractare aferent încheierii contractului/deciziei</w:t>
            </w:r>
            <w:r w:rsidR="004E3C14" w:rsidRPr="00630E67">
              <w:t xml:space="preserve"> </w:t>
            </w:r>
            <w:r w:rsidR="00687C21" w:rsidRPr="00630E67">
              <w:t xml:space="preserve">de </w:t>
            </w:r>
            <w:r w:rsidR="004E3C14" w:rsidRPr="00630E67">
              <w:t>finanțare</w:t>
            </w:r>
            <w:r w:rsidR="00687C21" w:rsidRPr="00630E67">
              <w:t xml:space="preserve">, precum </w:t>
            </w:r>
            <w:r w:rsidR="004E3C14" w:rsidRPr="00630E67">
              <w:t>și</w:t>
            </w:r>
            <w:r w:rsidR="00687C21" w:rsidRPr="00630E67">
              <w:t xml:space="preserve"> procesul de verificare a cererilor de rambursare.</w:t>
            </w:r>
          </w:p>
          <w:p w14:paraId="66F037AC" w14:textId="75DC39F6" w:rsidR="00EB5250" w:rsidRDefault="00687C21" w:rsidP="004844D1">
            <w:pPr>
              <w:autoSpaceDE w:val="0"/>
              <w:autoSpaceDN w:val="0"/>
              <w:adjustRightInd w:val="0"/>
              <w:jc w:val="both"/>
              <w:rPr>
                <w:lang w:eastAsia="en-GB"/>
              </w:rPr>
            </w:pPr>
            <w:r w:rsidRPr="00630E67">
              <w:t xml:space="preserve">    </w:t>
            </w:r>
            <w:r w:rsidR="00460757" w:rsidRPr="00630E67">
              <w:t xml:space="preserve"> </w:t>
            </w:r>
            <w:r w:rsidR="008D4B8D" w:rsidRPr="00630E67">
              <w:rPr>
                <w:lang w:eastAsia="en-GB"/>
              </w:rPr>
              <w:t>Pentru a asigura aplica</w:t>
            </w:r>
            <w:r w:rsidR="004E3C14" w:rsidRPr="00630E67">
              <w:rPr>
                <w:lang w:eastAsia="en-GB"/>
              </w:rPr>
              <w:t>rea</w:t>
            </w:r>
            <w:r w:rsidR="008D4B8D" w:rsidRPr="00630E67">
              <w:rPr>
                <w:lang w:eastAsia="en-GB"/>
              </w:rPr>
              <w:t xml:space="preserve"> corect</w:t>
            </w:r>
            <w:r w:rsidR="004E3C14" w:rsidRPr="00630E67">
              <w:rPr>
                <w:lang w:eastAsia="en-GB"/>
              </w:rPr>
              <w:t>ă</w:t>
            </w:r>
            <w:r w:rsidR="008D4B8D" w:rsidRPr="00630E67">
              <w:rPr>
                <w:lang w:eastAsia="en-GB"/>
              </w:rPr>
              <w:t xml:space="preserve"> a regulilor </w:t>
            </w:r>
            <w:r w:rsidR="004E3C14" w:rsidRPr="00630E67">
              <w:rPr>
                <w:lang w:eastAsia="en-GB"/>
              </w:rPr>
              <w:t>prevăzute</w:t>
            </w:r>
            <w:r w:rsidR="008D4B8D" w:rsidRPr="00630E67">
              <w:rPr>
                <w:lang w:eastAsia="en-GB"/>
              </w:rPr>
              <w:t xml:space="preserve"> </w:t>
            </w:r>
            <w:r w:rsidR="004E3C14" w:rsidRPr="00630E67">
              <w:rPr>
                <w:lang w:eastAsia="en-GB"/>
              </w:rPr>
              <w:t>î</w:t>
            </w:r>
            <w:r w:rsidR="008D4B8D" w:rsidRPr="00630E67">
              <w:rPr>
                <w:lang w:eastAsia="en-GB"/>
              </w:rPr>
              <w:t>n hotărâre este necesar ca</w:t>
            </w:r>
            <w:r w:rsidR="004E3C14" w:rsidRPr="00630E67">
              <w:rPr>
                <w:lang w:eastAsia="en-GB"/>
              </w:rPr>
              <w:t>,</w:t>
            </w:r>
            <w:r w:rsidR="008D4B8D" w:rsidRPr="00630E67">
              <w:rPr>
                <w:lang w:eastAsia="en-GB"/>
              </w:rPr>
              <w:t xml:space="preserve"> pe parc</w:t>
            </w:r>
            <w:r w:rsidR="004E3C14" w:rsidRPr="00630E67">
              <w:rPr>
                <w:lang w:eastAsia="en-GB"/>
              </w:rPr>
              <w:t>ursul</w:t>
            </w:r>
            <w:r w:rsidR="008D4B8D" w:rsidRPr="00630E67">
              <w:rPr>
                <w:lang w:eastAsia="en-GB"/>
              </w:rPr>
              <w:t xml:space="preserve"> per</w:t>
            </w:r>
            <w:r w:rsidR="004E3C14" w:rsidRPr="00630E67">
              <w:rPr>
                <w:lang w:eastAsia="en-GB"/>
              </w:rPr>
              <w:t>ioadei</w:t>
            </w:r>
            <w:r w:rsidR="008D4B8D" w:rsidRPr="00630E67">
              <w:rPr>
                <w:lang w:eastAsia="en-GB"/>
              </w:rPr>
              <w:t xml:space="preserve"> de implem</w:t>
            </w:r>
            <w:r w:rsidR="004E3C14" w:rsidRPr="00630E67">
              <w:rPr>
                <w:lang w:eastAsia="en-GB"/>
              </w:rPr>
              <w:t>entare</w:t>
            </w:r>
            <w:r w:rsidR="008D4B8D" w:rsidRPr="00630E67">
              <w:rPr>
                <w:lang w:eastAsia="en-GB"/>
              </w:rPr>
              <w:t xml:space="preserve"> a program</w:t>
            </w:r>
            <w:r w:rsidR="004E3C14" w:rsidRPr="00630E67">
              <w:rPr>
                <w:lang w:eastAsia="en-GB"/>
              </w:rPr>
              <w:t>elor</w:t>
            </w:r>
            <w:r w:rsidR="008D4B8D" w:rsidRPr="00630E67">
              <w:rPr>
                <w:lang w:eastAsia="en-GB"/>
              </w:rPr>
              <w:t xml:space="preserve"> </w:t>
            </w:r>
            <w:r w:rsidR="004E3C14" w:rsidRPr="00630E67">
              <w:rPr>
                <w:lang w:eastAsia="en-GB"/>
              </w:rPr>
              <w:t>operaționale</w:t>
            </w:r>
            <w:r w:rsidR="008D4B8D" w:rsidRPr="00630E67">
              <w:rPr>
                <w:lang w:eastAsia="en-GB"/>
              </w:rPr>
              <w:t>,</w:t>
            </w:r>
            <w:r w:rsidR="00E4097E" w:rsidRPr="00630E67">
              <w:rPr>
                <w:lang w:eastAsia="en-GB"/>
              </w:rPr>
              <w:t xml:space="preserve"> </w:t>
            </w:r>
            <w:r w:rsidR="00E4097E" w:rsidRPr="00630E67">
              <w:t xml:space="preserve">Ministerul </w:t>
            </w:r>
            <w:r w:rsidR="00E4097E" w:rsidRPr="00630E67">
              <w:rPr>
                <w:color w:val="000000"/>
                <w:lang w:eastAsia="en-GB"/>
              </w:rPr>
              <w:t>Investițiilor și Proiectelor Europene</w:t>
            </w:r>
            <w:r w:rsidR="00E4097E" w:rsidRPr="00630E67">
              <w:t xml:space="preserve">, în calitate de coordonator, să poată </w:t>
            </w:r>
            <w:r w:rsidR="007349B4" w:rsidRPr="00630E67">
              <w:t xml:space="preserve">emite </w:t>
            </w:r>
            <w:r w:rsidR="008D4B8D" w:rsidRPr="00630E67">
              <w:rPr>
                <w:lang w:eastAsia="en-GB"/>
              </w:rPr>
              <w:t>ordine și instrucțiuni care sa furnizeze detalii cu privire la regulile de eligibilitate</w:t>
            </w:r>
            <w:r w:rsidR="007349B4" w:rsidRPr="00630E67">
              <w:rPr>
                <w:lang w:eastAsia="en-GB"/>
              </w:rPr>
              <w:t>.</w:t>
            </w:r>
            <w:r w:rsidR="004844D1" w:rsidRPr="00630E67">
              <w:rPr>
                <w:lang w:eastAsia="en-GB"/>
              </w:rPr>
              <w:t xml:space="preserve"> Î</w:t>
            </w:r>
            <w:r w:rsidR="00EB5250" w:rsidRPr="00630E67">
              <w:rPr>
                <w:lang w:eastAsia="en-GB"/>
              </w:rPr>
              <w:t xml:space="preserve">n procesul de elaborare a acestora, MIPE consultă toate </w:t>
            </w:r>
            <w:r w:rsidR="007349B4" w:rsidRPr="00630E67">
              <w:rPr>
                <w:lang w:eastAsia="en-GB"/>
              </w:rPr>
              <w:t>autoritățile</w:t>
            </w:r>
            <w:r w:rsidR="00EB5250" w:rsidRPr="00630E67">
              <w:rPr>
                <w:lang w:eastAsia="en-GB"/>
              </w:rPr>
              <w:t xml:space="preserve"> de ma</w:t>
            </w:r>
            <w:r w:rsidR="007349B4" w:rsidRPr="00630E67">
              <w:rPr>
                <w:lang w:eastAsia="en-GB"/>
              </w:rPr>
              <w:t>na</w:t>
            </w:r>
            <w:r w:rsidR="00EB5250" w:rsidRPr="00630E67">
              <w:rPr>
                <w:lang w:eastAsia="en-GB"/>
              </w:rPr>
              <w:t>g</w:t>
            </w:r>
            <w:r w:rsidR="007349B4" w:rsidRPr="00630E67">
              <w:rPr>
                <w:lang w:eastAsia="en-GB"/>
              </w:rPr>
              <w:t>e</w:t>
            </w:r>
            <w:r w:rsidR="00EB5250" w:rsidRPr="00630E67">
              <w:rPr>
                <w:lang w:eastAsia="en-GB"/>
              </w:rPr>
              <w:t>ment pentru a putea asigura aplicabilitatea lor în conformitate cu  specificul programului.</w:t>
            </w:r>
          </w:p>
          <w:p w14:paraId="4EB05AEC" w14:textId="3F99E240" w:rsidR="00BD1014" w:rsidRPr="009B381E" w:rsidRDefault="00BD1014" w:rsidP="00470D87">
            <w:pPr>
              <w:jc w:val="both"/>
              <w:rPr>
                <w:lang w:eastAsia="ro-RO"/>
              </w:rPr>
            </w:pPr>
          </w:p>
        </w:tc>
      </w:tr>
      <w:tr w:rsidR="006449AD" w:rsidRPr="009B381E" w14:paraId="4F0A040E" w14:textId="77777777" w:rsidTr="00EA0275">
        <w:trPr>
          <w:trHeight w:val="740"/>
        </w:trPr>
        <w:tc>
          <w:tcPr>
            <w:tcW w:w="2259" w:type="dxa"/>
          </w:tcPr>
          <w:p w14:paraId="444F22DC" w14:textId="1A460C58" w:rsidR="00670C79" w:rsidRPr="009B381E" w:rsidRDefault="00670C79" w:rsidP="00312FF3">
            <w:pPr>
              <w:spacing w:line="276" w:lineRule="auto"/>
              <w:jc w:val="both"/>
            </w:pPr>
            <w:r w:rsidRPr="009B381E">
              <w:lastRenderedPageBreak/>
              <w:t xml:space="preserve">3.Alte </w:t>
            </w:r>
            <w:r w:rsidR="006730CC" w:rsidRPr="009B381E">
              <w:t>informații</w:t>
            </w:r>
          </w:p>
        </w:tc>
        <w:tc>
          <w:tcPr>
            <w:tcW w:w="7938" w:type="dxa"/>
          </w:tcPr>
          <w:p w14:paraId="33DA0BF8" w14:textId="1E0C5A04" w:rsidR="0025682E" w:rsidRPr="009B381E" w:rsidRDefault="007A427F" w:rsidP="002E3BEE">
            <w:pPr>
              <w:widowControl w:val="0"/>
              <w:autoSpaceDE w:val="0"/>
              <w:autoSpaceDN w:val="0"/>
              <w:adjustRightInd w:val="0"/>
              <w:jc w:val="both"/>
            </w:pPr>
            <w:r>
              <w:rPr>
                <w:lang w:eastAsia="ro-RO"/>
              </w:rPr>
              <w:t>Nu au fost identificate.</w:t>
            </w:r>
          </w:p>
        </w:tc>
      </w:tr>
    </w:tbl>
    <w:p w14:paraId="2DB4CCB7" w14:textId="77777777" w:rsidR="003864F6" w:rsidRPr="009B381E" w:rsidRDefault="00DB715E" w:rsidP="003864F6">
      <w:pPr>
        <w:spacing w:line="276" w:lineRule="auto"/>
        <w:rPr>
          <w:b/>
        </w:rPr>
      </w:pPr>
      <w:r w:rsidRPr="009B381E">
        <w:rPr>
          <w:b/>
        </w:rPr>
        <w:t xml:space="preserve">   </w:t>
      </w:r>
      <w:r w:rsidR="007C16BF" w:rsidRPr="009B381E">
        <w:rPr>
          <w:b/>
        </w:rPr>
        <w:t xml:space="preserve">   </w:t>
      </w:r>
    </w:p>
    <w:p w14:paraId="4E4A7A8E" w14:textId="00B7FEC0" w:rsidR="00670C79" w:rsidRPr="009B381E" w:rsidRDefault="007C16BF" w:rsidP="00A70147">
      <w:pPr>
        <w:spacing w:line="276" w:lineRule="auto"/>
        <w:ind w:left="284"/>
        <w:rPr>
          <w:b/>
        </w:rPr>
      </w:pPr>
      <w:r w:rsidRPr="009B381E">
        <w:rPr>
          <w:b/>
        </w:rPr>
        <w:t xml:space="preserve"> </w:t>
      </w:r>
      <w:r w:rsidR="003864F6" w:rsidRPr="009B381E">
        <w:rPr>
          <w:b/>
        </w:rPr>
        <w:t>Secțiunea</w:t>
      </w:r>
      <w:r w:rsidR="00670C79" w:rsidRPr="009B381E">
        <w:rPr>
          <w:b/>
        </w:rPr>
        <w:t xml:space="preserve"> a 3-a - Impactul socio-economic al proiectului de act normativ</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4"/>
        <w:gridCol w:w="7556"/>
      </w:tblGrid>
      <w:tr w:rsidR="00520BE3" w:rsidRPr="009B381E" w14:paraId="4F7B7B5A" w14:textId="77777777" w:rsidTr="006A5A1B">
        <w:tc>
          <w:tcPr>
            <w:tcW w:w="2684" w:type="dxa"/>
          </w:tcPr>
          <w:p w14:paraId="1A4C81E4" w14:textId="63864073" w:rsidR="00670C79" w:rsidRPr="009B381E" w:rsidRDefault="00670C79" w:rsidP="00A70147">
            <w:r w:rsidRPr="009B381E">
              <w:t>1. Impactul macro</w:t>
            </w:r>
            <w:r w:rsidR="009F22AF" w:rsidRPr="009B381E">
              <w:t xml:space="preserve">- </w:t>
            </w:r>
            <w:r w:rsidRPr="009B381E">
              <w:t>economic</w:t>
            </w:r>
          </w:p>
        </w:tc>
        <w:tc>
          <w:tcPr>
            <w:tcW w:w="7556" w:type="dxa"/>
            <w:vAlign w:val="center"/>
          </w:tcPr>
          <w:p w14:paraId="041FB550" w14:textId="4762FE52" w:rsidR="0025682E" w:rsidRPr="009B381E" w:rsidRDefault="004C0503" w:rsidP="00A70147">
            <w:pPr>
              <w:jc w:val="both"/>
            </w:pPr>
            <w:r w:rsidRPr="009B381E">
              <w:t>Prezentul act normativ nu se referă la acest subiect.</w:t>
            </w:r>
          </w:p>
        </w:tc>
      </w:tr>
      <w:tr w:rsidR="00520BE3" w:rsidRPr="009B381E" w14:paraId="11154DDC" w14:textId="77777777" w:rsidTr="006A5A1B">
        <w:tc>
          <w:tcPr>
            <w:tcW w:w="2684" w:type="dxa"/>
          </w:tcPr>
          <w:p w14:paraId="4F381BDD" w14:textId="77777777" w:rsidR="00670C79" w:rsidRPr="009B381E" w:rsidRDefault="00670C79" w:rsidP="00A70147">
            <w:pPr>
              <w:jc w:val="both"/>
            </w:pPr>
            <w:r w:rsidRPr="009B381E">
              <w:t>1</w:t>
            </w:r>
            <w:r w:rsidRPr="009B381E">
              <w:rPr>
                <w:vertAlign w:val="superscript"/>
              </w:rPr>
              <w:t>1</w:t>
            </w:r>
            <w:r w:rsidRPr="009B381E">
              <w:t>. Impactul asupra mediului concurenţial şi domeniului ajutoarelor de stat</w:t>
            </w:r>
          </w:p>
        </w:tc>
        <w:tc>
          <w:tcPr>
            <w:tcW w:w="7556" w:type="dxa"/>
            <w:vAlign w:val="center"/>
          </w:tcPr>
          <w:p w14:paraId="3691C3E7" w14:textId="77777777" w:rsidR="00670C79" w:rsidRPr="009B381E" w:rsidRDefault="00670C79" w:rsidP="00A70147">
            <w:pPr>
              <w:jc w:val="both"/>
            </w:pPr>
            <w:r w:rsidRPr="009B381E">
              <w:t>Proiectul de act normativ nu se referă la acest subiect.</w:t>
            </w:r>
          </w:p>
        </w:tc>
      </w:tr>
      <w:tr w:rsidR="00520BE3" w:rsidRPr="009B381E" w14:paraId="2B719308" w14:textId="77777777" w:rsidTr="006A5A1B">
        <w:tc>
          <w:tcPr>
            <w:tcW w:w="2684" w:type="dxa"/>
          </w:tcPr>
          <w:p w14:paraId="7958BBB2" w14:textId="77777777" w:rsidR="00670C79" w:rsidRPr="009B381E" w:rsidRDefault="00670C79" w:rsidP="00A70147">
            <w:r w:rsidRPr="009B381E">
              <w:t>2. Impact asupra mediului de afaceri</w:t>
            </w:r>
          </w:p>
        </w:tc>
        <w:tc>
          <w:tcPr>
            <w:tcW w:w="7556" w:type="dxa"/>
            <w:vAlign w:val="center"/>
          </w:tcPr>
          <w:p w14:paraId="41DC7255" w14:textId="77777777" w:rsidR="00670C79" w:rsidRPr="009B381E" w:rsidRDefault="00670C79" w:rsidP="00A70147">
            <w:pPr>
              <w:jc w:val="both"/>
            </w:pPr>
            <w:r w:rsidRPr="009B381E">
              <w:t>Proiectul de act normativ nu se referă la acest subiect.</w:t>
            </w:r>
          </w:p>
          <w:p w14:paraId="5C25A681" w14:textId="77777777" w:rsidR="0025682E" w:rsidRPr="009B381E" w:rsidRDefault="0025682E" w:rsidP="00A70147">
            <w:pPr>
              <w:jc w:val="both"/>
            </w:pPr>
          </w:p>
        </w:tc>
      </w:tr>
      <w:tr w:rsidR="00520BE3" w:rsidRPr="009B381E" w14:paraId="6802A78A" w14:textId="77777777" w:rsidTr="006A5A1B">
        <w:tc>
          <w:tcPr>
            <w:tcW w:w="2684" w:type="dxa"/>
          </w:tcPr>
          <w:p w14:paraId="3F227086" w14:textId="774C97A6" w:rsidR="00670C79" w:rsidRPr="009B381E" w:rsidRDefault="00670C79" w:rsidP="00A701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B381E">
              <w:rPr>
                <w:lang w:eastAsia="ro-RO"/>
              </w:rPr>
              <w:t>2</w:t>
            </w:r>
            <w:r w:rsidR="00B73EA3" w:rsidRPr="00B73EA3">
              <w:rPr>
                <w:vertAlign w:val="superscript"/>
                <w:lang w:eastAsia="ro-RO"/>
              </w:rPr>
              <w:t>1</w:t>
            </w:r>
            <w:r w:rsidRPr="009B381E">
              <w:rPr>
                <w:lang w:eastAsia="ro-RO"/>
              </w:rPr>
              <w:t>. Impactul asupra sarcinilor administrative</w:t>
            </w:r>
          </w:p>
        </w:tc>
        <w:tc>
          <w:tcPr>
            <w:tcW w:w="7556" w:type="dxa"/>
            <w:vAlign w:val="center"/>
          </w:tcPr>
          <w:p w14:paraId="27439D9F" w14:textId="77777777" w:rsidR="00670C79" w:rsidRPr="009B381E" w:rsidRDefault="00670C79" w:rsidP="00A70147">
            <w:pPr>
              <w:jc w:val="both"/>
            </w:pPr>
            <w:r w:rsidRPr="009B381E">
              <w:t>Proiectul de act normativ nu se referă la acest subiect.</w:t>
            </w:r>
          </w:p>
        </w:tc>
      </w:tr>
      <w:tr w:rsidR="00520BE3" w:rsidRPr="009B381E" w14:paraId="1EE623DB" w14:textId="77777777" w:rsidTr="006A5A1B">
        <w:tc>
          <w:tcPr>
            <w:tcW w:w="2684" w:type="dxa"/>
          </w:tcPr>
          <w:p w14:paraId="48E23D9D" w14:textId="5062C519" w:rsidR="00670C79" w:rsidRPr="009B381E" w:rsidRDefault="00670C79" w:rsidP="00A70147">
            <w:pPr>
              <w:pStyle w:val="HTMLPreformatted"/>
              <w:shd w:val="clear" w:color="auto" w:fill="FFFFFF"/>
              <w:jc w:val="both"/>
              <w:rPr>
                <w:rFonts w:ascii="Times New Roman" w:hAnsi="Times New Roman" w:cs="Times New Roman"/>
                <w:sz w:val="24"/>
                <w:szCs w:val="24"/>
              </w:rPr>
            </w:pPr>
            <w:r w:rsidRPr="009B381E">
              <w:rPr>
                <w:rFonts w:ascii="Times New Roman" w:hAnsi="Times New Roman" w:cs="Times New Roman"/>
                <w:sz w:val="24"/>
                <w:szCs w:val="24"/>
              </w:rPr>
              <w:t>2</w:t>
            </w:r>
            <w:r w:rsidRPr="00B73EA3">
              <w:rPr>
                <w:rFonts w:ascii="Times New Roman" w:hAnsi="Times New Roman" w:cs="Times New Roman"/>
                <w:sz w:val="24"/>
                <w:szCs w:val="24"/>
                <w:vertAlign w:val="superscript"/>
              </w:rPr>
              <w:t>2</w:t>
            </w:r>
            <w:r w:rsidRPr="009B381E">
              <w:rPr>
                <w:rFonts w:ascii="Times New Roman" w:hAnsi="Times New Roman" w:cs="Times New Roman"/>
                <w:sz w:val="24"/>
                <w:szCs w:val="24"/>
              </w:rPr>
              <w:t>. Impactul asupra întreprinderilor mici și mijlocii</w:t>
            </w:r>
          </w:p>
        </w:tc>
        <w:tc>
          <w:tcPr>
            <w:tcW w:w="7556" w:type="dxa"/>
            <w:vAlign w:val="center"/>
          </w:tcPr>
          <w:p w14:paraId="2A6279C4" w14:textId="77777777" w:rsidR="00670C79" w:rsidRPr="009B381E" w:rsidRDefault="00670C79" w:rsidP="00A70147">
            <w:pPr>
              <w:jc w:val="both"/>
            </w:pPr>
            <w:r w:rsidRPr="009B381E">
              <w:t>Proiectul de act normativ nu se referă la acest subiect.</w:t>
            </w:r>
          </w:p>
        </w:tc>
      </w:tr>
      <w:tr w:rsidR="00520BE3" w:rsidRPr="009B381E" w14:paraId="4036C85E" w14:textId="77777777" w:rsidTr="006A5A1B">
        <w:tc>
          <w:tcPr>
            <w:tcW w:w="2684" w:type="dxa"/>
          </w:tcPr>
          <w:p w14:paraId="7DFA3F41" w14:textId="7C924AD5" w:rsidR="00670C79" w:rsidRPr="009B381E" w:rsidRDefault="00670C79" w:rsidP="00A70147">
            <w:r w:rsidRPr="009B381E">
              <w:t>3. Imp</w:t>
            </w:r>
            <w:r w:rsidR="009F22AF" w:rsidRPr="009B381E">
              <w:t>a</w:t>
            </w:r>
            <w:r w:rsidR="00AA59A0" w:rsidRPr="009B381E">
              <w:t>c</w:t>
            </w:r>
            <w:r w:rsidR="009F22AF" w:rsidRPr="009B381E">
              <w:t xml:space="preserve">tul </w:t>
            </w:r>
            <w:r w:rsidRPr="009B381E">
              <w:t>social</w:t>
            </w:r>
          </w:p>
        </w:tc>
        <w:tc>
          <w:tcPr>
            <w:tcW w:w="7556" w:type="dxa"/>
            <w:vAlign w:val="center"/>
          </w:tcPr>
          <w:p w14:paraId="7B2B1E4F" w14:textId="29883846" w:rsidR="00670C79" w:rsidRPr="009B381E" w:rsidRDefault="00670C79" w:rsidP="00A70147">
            <w:pPr>
              <w:jc w:val="both"/>
            </w:pPr>
          </w:p>
        </w:tc>
      </w:tr>
      <w:tr w:rsidR="00520BE3" w:rsidRPr="009B381E" w14:paraId="59D45322" w14:textId="77777777" w:rsidTr="006A5A1B">
        <w:tc>
          <w:tcPr>
            <w:tcW w:w="2684" w:type="dxa"/>
          </w:tcPr>
          <w:p w14:paraId="10B187CE" w14:textId="77777777" w:rsidR="00670C79" w:rsidRPr="009B381E" w:rsidRDefault="00670C79" w:rsidP="00A70147">
            <w:r w:rsidRPr="009B381E">
              <w:t>4. Impact asupra mediului</w:t>
            </w:r>
          </w:p>
        </w:tc>
        <w:tc>
          <w:tcPr>
            <w:tcW w:w="7556" w:type="dxa"/>
            <w:vAlign w:val="center"/>
          </w:tcPr>
          <w:p w14:paraId="05B3B285" w14:textId="77777777" w:rsidR="00670C79" w:rsidRPr="009B381E" w:rsidRDefault="00670C79" w:rsidP="00A70147">
            <w:pPr>
              <w:jc w:val="both"/>
            </w:pPr>
            <w:r w:rsidRPr="009B381E">
              <w:t>Proiectul de act normativ nu se referă la acest subiect.</w:t>
            </w:r>
          </w:p>
        </w:tc>
      </w:tr>
      <w:tr w:rsidR="006449AD" w:rsidRPr="009B381E" w14:paraId="32110270" w14:textId="77777777" w:rsidTr="006A5A1B">
        <w:tc>
          <w:tcPr>
            <w:tcW w:w="2684" w:type="dxa"/>
          </w:tcPr>
          <w:p w14:paraId="41862FBF" w14:textId="77777777" w:rsidR="00670C79" w:rsidRPr="009B381E" w:rsidRDefault="00670C79" w:rsidP="00A70147">
            <w:r w:rsidRPr="009B381E">
              <w:t>5. Alte informaţii</w:t>
            </w:r>
          </w:p>
        </w:tc>
        <w:tc>
          <w:tcPr>
            <w:tcW w:w="7556" w:type="dxa"/>
            <w:vAlign w:val="center"/>
          </w:tcPr>
          <w:p w14:paraId="53E2778B" w14:textId="77777777" w:rsidR="00670C79" w:rsidRPr="009B381E" w:rsidRDefault="00670C79" w:rsidP="00A70147">
            <w:pPr>
              <w:jc w:val="both"/>
            </w:pPr>
            <w:r w:rsidRPr="009B381E">
              <w:t>Nu au fost identificate.</w:t>
            </w:r>
          </w:p>
        </w:tc>
      </w:tr>
    </w:tbl>
    <w:p w14:paraId="40C7093F" w14:textId="5C8B0A07" w:rsidR="0025682E" w:rsidRDefault="0025682E" w:rsidP="00A70147">
      <w:pPr>
        <w:ind w:left="180"/>
        <w:jc w:val="both"/>
        <w:rPr>
          <w:b/>
        </w:rPr>
      </w:pPr>
    </w:p>
    <w:p w14:paraId="5368B6C7" w14:textId="77777777" w:rsidR="00A70147" w:rsidRDefault="00A70147" w:rsidP="00312FF3">
      <w:pPr>
        <w:spacing w:line="276" w:lineRule="auto"/>
        <w:ind w:left="180"/>
        <w:jc w:val="both"/>
        <w:rPr>
          <w:b/>
        </w:rPr>
      </w:pPr>
    </w:p>
    <w:p w14:paraId="34AED0C5" w14:textId="4E9208CE" w:rsidR="00670C79" w:rsidRPr="009B381E" w:rsidRDefault="00670C79" w:rsidP="00312FF3">
      <w:pPr>
        <w:spacing w:line="276" w:lineRule="auto"/>
        <w:ind w:left="180"/>
        <w:jc w:val="both"/>
        <w:rPr>
          <w:b/>
        </w:rPr>
      </w:pPr>
      <w:r w:rsidRPr="009B381E">
        <w:rPr>
          <w:b/>
        </w:rPr>
        <w:lastRenderedPageBreak/>
        <w:t xml:space="preserve">Secţiunea a 4-a. Impactul financiar asupra bugetului de stat consolidat, atât pe termen scurt, pentru </w:t>
      </w:r>
      <w:r w:rsidR="007C16BF" w:rsidRPr="009B381E">
        <w:rPr>
          <w:b/>
        </w:rPr>
        <w:t xml:space="preserve">  </w:t>
      </w:r>
      <w:r w:rsidR="00DB71DB" w:rsidRPr="009B381E">
        <w:rPr>
          <w:b/>
        </w:rPr>
        <w:t xml:space="preserve">  </w:t>
      </w:r>
      <w:r w:rsidRPr="009B381E">
        <w:rPr>
          <w:b/>
        </w:rPr>
        <w:t>anul curent, cât şi pe termen lung (pe 5 ani)</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1"/>
        <w:gridCol w:w="1058"/>
        <w:gridCol w:w="1366"/>
        <w:gridCol w:w="1466"/>
        <w:gridCol w:w="1366"/>
        <w:gridCol w:w="1135"/>
        <w:gridCol w:w="1448"/>
      </w:tblGrid>
      <w:tr w:rsidR="00520BE3" w:rsidRPr="009B381E" w14:paraId="57D824B3" w14:textId="77777777" w:rsidTr="00312FF3">
        <w:tc>
          <w:tcPr>
            <w:tcW w:w="2401" w:type="dxa"/>
          </w:tcPr>
          <w:p w14:paraId="318BEE35" w14:textId="77777777" w:rsidR="00670C79" w:rsidRPr="009B381E" w:rsidRDefault="00670C79" w:rsidP="00312FF3">
            <w:pPr>
              <w:pStyle w:val="Heading2"/>
              <w:spacing w:line="276" w:lineRule="auto"/>
              <w:rPr>
                <w:sz w:val="24"/>
              </w:rPr>
            </w:pPr>
            <w:r w:rsidRPr="009B381E">
              <w:rPr>
                <w:sz w:val="24"/>
              </w:rPr>
              <w:t>Indicatori</w:t>
            </w:r>
          </w:p>
        </w:tc>
        <w:tc>
          <w:tcPr>
            <w:tcW w:w="1058" w:type="dxa"/>
          </w:tcPr>
          <w:p w14:paraId="603E3C85" w14:textId="77777777" w:rsidR="00670C79" w:rsidRPr="009B381E" w:rsidRDefault="00670C79" w:rsidP="00312FF3">
            <w:pPr>
              <w:spacing w:line="276" w:lineRule="auto"/>
              <w:jc w:val="center"/>
            </w:pPr>
            <w:r w:rsidRPr="009B381E">
              <w:t>An curent</w:t>
            </w:r>
          </w:p>
        </w:tc>
        <w:tc>
          <w:tcPr>
            <w:tcW w:w="5333" w:type="dxa"/>
            <w:gridSpan w:val="4"/>
          </w:tcPr>
          <w:p w14:paraId="4EA4AF47" w14:textId="77777777" w:rsidR="00670C79" w:rsidRPr="009B381E" w:rsidRDefault="00670C79" w:rsidP="00312FF3">
            <w:pPr>
              <w:spacing w:line="276" w:lineRule="auto"/>
              <w:jc w:val="center"/>
            </w:pPr>
            <w:r w:rsidRPr="009B381E">
              <w:t>Următorii 4 ani</w:t>
            </w:r>
          </w:p>
        </w:tc>
        <w:tc>
          <w:tcPr>
            <w:tcW w:w="1448" w:type="dxa"/>
          </w:tcPr>
          <w:p w14:paraId="1EE52564" w14:textId="77777777" w:rsidR="00670C79" w:rsidRPr="009B381E" w:rsidRDefault="00670C79" w:rsidP="00312FF3">
            <w:pPr>
              <w:spacing w:line="276" w:lineRule="auto"/>
              <w:jc w:val="center"/>
            </w:pPr>
            <w:r w:rsidRPr="009B381E">
              <w:t>Media următorilor 5 ani, după anul curent</w:t>
            </w:r>
          </w:p>
        </w:tc>
      </w:tr>
      <w:tr w:rsidR="00520BE3" w:rsidRPr="009B381E" w14:paraId="31AEB740" w14:textId="77777777" w:rsidTr="00312FF3">
        <w:tc>
          <w:tcPr>
            <w:tcW w:w="2401" w:type="dxa"/>
          </w:tcPr>
          <w:p w14:paraId="1A04C9C9" w14:textId="77777777" w:rsidR="00670C79" w:rsidRPr="009B381E" w:rsidRDefault="00670C79" w:rsidP="00312FF3">
            <w:pPr>
              <w:spacing w:line="276" w:lineRule="auto"/>
              <w:jc w:val="center"/>
            </w:pPr>
            <w:r w:rsidRPr="009B381E">
              <w:t>1</w:t>
            </w:r>
          </w:p>
        </w:tc>
        <w:tc>
          <w:tcPr>
            <w:tcW w:w="1058" w:type="dxa"/>
            <w:vAlign w:val="center"/>
          </w:tcPr>
          <w:p w14:paraId="44BDE6EE" w14:textId="77777777" w:rsidR="00670C79" w:rsidRPr="009B381E" w:rsidRDefault="00670C79" w:rsidP="00312FF3">
            <w:pPr>
              <w:spacing w:line="276" w:lineRule="auto"/>
              <w:jc w:val="center"/>
            </w:pPr>
            <w:r w:rsidRPr="009B381E">
              <w:t>2</w:t>
            </w:r>
          </w:p>
        </w:tc>
        <w:tc>
          <w:tcPr>
            <w:tcW w:w="1366" w:type="dxa"/>
            <w:vAlign w:val="center"/>
          </w:tcPr>
          <w:p w14:paraId="44511A2B" w14:textId="77777777" w:rsidR="00670C79" w:rsidRPr="009B381E" w:rsidRDefault="00670C79" w:rsidP="00312FF3">
            <w:pPr>
              <w:spacing w:line="276" w:lineRule="auto"/>
              <w:jc w:val="center"/>
            </w:pPr>
            <w:r w:rsidRPr="009B381E">
              <w:t>3</w:t>
            </w:r>
          </w:p>
        </w:tc>
        <w:tc>
          <w:tcPr>
            <w:tcW w:w="1466" w:type="dxa"/>
            <w:vAlign w:val="center"/>
          </w:tcPr>
          <w:p w14:paraId="7665B810" w14:textId="77777777" w:rsidR="00670C79" w:rsidRPr="009B381E" w:rsidRDefault="00670C79" w:rsidP="00312FF3">
            <w:pPr>
              <w:spacing w:line="276" w:lineRule="auto"/>
              <w:jc w:val="center"/>
            </w:pPr>
            <w:r w:rsidRPr="009B381E">
              <w:t>4</w:t>
            </w:r>
          </w:p>
        </w:tc>
        <w:tc>
          <w:tcPr>
            <w:tcW w:w="1366" w:type="dxa"/>
            <w:vAlign w:val="center"/>
          </w:tcPr>
          <w:p w14:paraId="375332DA" w14:textId="77777777" w:rsidR="00670C79" w:rsidRPr="009B381E" w:rsidRDefault="00670C79" w:rsidP="00312FF3">
            <w:pPr>
              <w:spacing w:line="276" w:lineRule="auto"/>
              <w:jc w:val="center"/>
            </w:pPr>
            <w:r w:rsidRPr="009B381E">
              <w:t>5</w:t>
            </w:r>
          </w:p>
        </w:tc>
        <w:tc>
          <w:tcPr>
            <w:tcW w:w="1135" w:type="dxa"/>
            <w:vAlign w:val="center"/>
          </w:tcPr>
          <w:p w14:paraId="0DD2A48C" w14:textId="77777777" w:rsidR="00670C79" w:rsidRPr="009B381E" w:rsidRDefault="00670C79" w:rsidP="00312FF3">
            <w:pPr>
              <w:spacing w:line="276" w:lineRule="auto"/>
              <w:jc w:val="center"/>
            </w:pPr>
            <w:r w:rsidRPr="009B381E">
              <w:t>6</w:t>
            </w:r>
          </w:p>
        </w:tc>
        <w:tc>
          <w:tcPr>
            <w:tcW w:w="1448" w:type="dxa"/>
            <w:vAlign w:val="center"/>
          </w:tcPr>
          <w:p w14:paraId="64FF500C" w14:textId="77777777" w:rsidR="00670C79" w:rsidRPr="009B381E" w:rsidRDefault="00670C79" w:rsidP="00312FF3">
            <w:pPr>
              <w:spacing w:line="276" w:lineRule="auto"/>
              <w:jc w:val="center"/>
            </w:pPr>
            <w:r w:rsidRPr="009B381E">
              <w:t>7</w:t>
            </w:r>
          </w:p>
        </w:tc>
      </w:tr>
      <w:tr w:rsidR="00520BE3" w:rsidRPr="009B381E" w14:paraId="24F374CE" w14:textId="77777777" w:rsidTr="00312FF3">
        <w:tc>
          <w:tcPr>
            <w:tcW w:w="2401" w:type="dxa"/>
          </w:tcPr>
          <w:p w14:paraId="16B8D264" w14:textId="77777777" w:rsidR="00670C79" w:rsidRPr="009B381E" w:rsidRDefault="00670C79" w:rsidP="00A70147">
            <w:pPr>
              <w:jc w:val="both"/>
            </w:pPr>
            <w:r w:rsidRPr="009B381E">
              <w:t>1.Modificări ale veniturilor bugetare, plus/minus, din care:</w:t>
            </w:r>
          </w:p>
          <w:p w14:paraId="4B6C0C63" w14:textId="77777777" w:rsidR="00670C79" w:rsidRPr="009B381E" w:rsidRDefault="00670C79" w:rsidP="00A70147">
            <w:pPr>
              <w:jc w:val="both"/>
            </w:pPr>
            <w:r w:rsidRPr="009B381E">
              <w:t>a)bugetul de stat, din acesta:</w:t>
            </w:r>
          </w:p>
          <w:p w14:paraId="0B240570" w14:textId="77777777" w:rsidR="00670C79" w:rsidRPr="009B381E" w:rsidRDefault="00670C79" w:rsidP="00A70147">
            <w:pPr>
              <w:jc w:val="both"/>
            </w:pPr>
            <w:r w:rsidRPr="009B381E">
              <w:t>-impozit pe profit</w:t>
            </w:r>
          </w:p>
          <w:p w14:paraId="7FF15A7F" w14:textId="77777777" w:rsidR="00670C79" w:rsidRPr="009B381E" w:rsidRDefault="00670C79" w:rsidP="00A70147">
            <w:pPr>
              <w:jc w:val="both"/>
            </w:pPr>
            <w:r w:rsidRPr="009B381E">
              <w:t>-impozit pe venit</w:t>
            </w:r>
          </w:p>
          <w:p w14:paraId="6929BEE8" w14:textId="77777777" w:rsidR="00670C79" w:rsidRPr="009B381E" w:rsidRDefault="00670C79" w:rsidP="00A70147">
            <w:pPr>
              <w:jc w:val="both"/>
            </w:pPr>
            <w:r w:rsidRPr="009B381E">
              <w:t>b)bugete locale:</w:t>
            </w:r>
          </w:p>
          <w:p w14:paraId="018DC564" w14:textId="77777777" w:rsidR="00670C79" w:rsidRPr="009B381E" w:rsidRDefault="00670C79" w:rsidP="00A70147">
            <w:pPr>
              <w:jc w:val="both"/>
            </w:pPr>
            <w:r w:rsidRPr="009B381E">
              <w:t>-impozit pe profit</w:t>
            </w:r>
          </w:p>
          <w:p w14:paraId="36DA5184" w14:textId="77777777" w:rsidR="00670C79" w:rsidRPr="009B381E" w:rsidRDefault="00670C79" w:rsidP="00A70147">
            <w:pPr>
              <w:jc w:val="both"/>
            </w:pPr>
            <w:r w:rsidRPr="009B381E">
              <w:t>c)bugetul asigurărilor sociale</w:t>
            </w:r>
          </w:p>
          <w:p w14:paraId="7075F3AB" w14:textId="01F98C89" w:rsidR="0025682E" w:rsidRPr="009B381E" w:rsidRDefault="00670C79" w:rsidP="00A70147">
            <w:pPr>
              <w:jc w:val="both"/>
            </w:pPr>
            <w:r w:rsidRPr="009B381E">
              <w:t>-contribuţii de asigurări</w:t>
            </w:r>
          </w:p>
        </w:tc>
        <w:tc>
          <w:tcPr>
            <w:tcW w:w="1058" w:type="dxa"/>
          </w:tcPr>
          <w:p w14:paraId="7811CDB2" w14:textId="77777777" w:rsidR="00670C79" w:rsidRPr="009B381E" w:rsidRDefault="00670C79" w:rsidP="00312FF3">
            <w:pPr>
              <w:pStyle w:val="BodyText2"/>
              <w:spacing w:line="276" w:lineRule="auto"/>
              <w:rPr>
                <w:sz w:val="24"/>
              </w:rPr>
            </w:pPr>
          </w:p>
        </w:tc>
        <w:tc>
          <w:tcPr>
            <w:tcW w:w="1366" w:type="dxa"/>
          </w:tcPr>
          <w:p w14:paraId="5E0D1921" w14:textId="77777777" w:rsidR="00670C79" w:rsidRPr="009B381E" w:rsidRDefault="00670C79" w:rsidP="00312FF3">
            <w:pPr>
              <w:pStyle w:val="BodyText2"/>
              <w:spacing w:line="276" w:lineRule="auto"/>
              <w:rPr>
                <w:sz w:val="24"/>
              </w:rPr>
            </w:pPr>
          </w:p>
        </w:tc>
        <w:tc>
          <w:tcPr>
            <w:tcW w:w="1466" w:type="dxa"/>
          </w:tcPr>
          <w:p w14:paraId="3789DD62" w14:textId="77777777" w:rsidR="00670C79" w:rsidRPr="009B381E" w:rsidRDefault="00670C79" w:rsidP="00312FF3">
            <w:pPr>
              <w:pStyle w:val="BodyText2"/>
              <w:spacing w:line="276" w:lineRule="auto"/>
              <w:rPr>
                <w:sz w:val="24"/>
              </w:rPr>
            </w:pPr>
          </w:p>
        </w:tc>
        <w:tc>
          <w:tcPr>
            <w:tcW w:w="1366" w:type="dxa"/>
          </w:tcPr>
          <w:p w14:paraId="3EFEBCA3" w14:textId="77777777" w:rsidR="00670C79" w:rsidRPr="009B381E" w:rsidRDefault="00670C79" w:rsidP="00312FF3">
            <w:pPr>
              <w:pStyle w:val="BodyText2"/>
              <w:spacing w:line="276" w:lineRule="auto"/>
              <w:rPr>
                <w:sz w:val="24"/>
              </w:rPr>
            </w:pPr>
          </w:p>
        </w:tc>
        <w:tc>
          <w:tcPr>
            <w:tcW w:w="1135" w:type="dxa"/>
          </w:tcPr>
          <w:p w14:paraId="4D97905B" w14:textId="77777777" w:rsidR="00670C79" w:rsidRPr="009B381E" w:rsidRDefault="00670C79" w:rsidP="00312FF3">
            <w:pPr>
              <w:pStyle w:val="BodyText2"/>
              <w:spacing w:line="276" w:lineRule="auto"/>
              <w:rPr>
                <w:sz w:val="24"/>
              </w:rPr>
            </w:pPr>
          </w:p>
        </w:tc>
        <w:tc>
          <w:tcPr>
            <w:tcW w:w="1448" w:type="dxa"/>
          </w:tcPr>
          <w:p w14:paraId="4A89D66A" w14:textId="77777777" w:rsidR="00670C79" w:rsidRPr="009B381E" w:rsidRDefault="00670C79" w:rsidP="00312FF3">
            <w:pPr>
              <w:pStyle w:val="BodyText2"/>
              <w:spacing w:line="276" w:lineRule="auto"/>
              <w:rPr>
                <w:sz w:val="24"/>
              </w:rPr>
            </w:pPr>
          </w:p>
        </w:tc>
      </w:tr>
      <w:tr w:rsidR="00520BE3" w:rsidRPr="009B381E" w14:paraId="126F1061" w14:textId="77777777" w:rsidTr="00312FF3">
        <w:tc>
          <w:tcPr>
            <w:tcW w:w="2401" w:type="dxa"/>
          </w:tcPr>
          <w:p w14:paraId="2AD4C393" w14:textId="77777777" w:rsidR="00ED5D29" w:rsidRPr="009B381E" w:rsidRDefault="00ED5D29" w:rsidP="00A70147">
            <w:pPr>
              <w:jc w:val="both"/>
            </w:pPr>
            <w:r w:rsidRPr="009B381E">
              <w:t>2.Modificări ale cheltuielilor bugetare din care:</w:t>
            </w:r>
          </w:p>
          <w:p w14:paraId="3F5FB5D8" w14:textId="77777777" w:rsidR="00ED5D29" w:rsidRPr="009B381E" w:rsidRDefault="00ED5D29" w:rsidP="00A70147">
            <w:pPr>
              <w:jc w:val="both"/>
            </w:pPr>
            <w:r w:rsidRPr="009B381E">
              <w:t>a)bugetul de stat, din acesta:</w:t>
            </w:r>
          </w:p>
          <w:p w14:paraId="55CFF855" w14:textId="77777777" w:rsidR="00ED5D29" w:rsidRPr="009B381E" w:rsidRDefault="00ED5D29" w:rsidP="00A70147">
            <w:pPr>
              <w:jc w:val="both"/>
            </w:pPr>
            <w:r w:rsidRPr="009B381E">
              <w:t>-cheltuieli de personal</w:t>
            </w:r>
          </w:p>
          <w:p w14:paraId="2676BF0E" w14:textId="77777777" w:rsidR="00ED5D29" w:rsidRPr="009B381E" w:rsidRDefault="00ED5D29" w:rsidP="00A70147">
            <w:pPr>
              <w:jc w:val="both"/>
            </w:pPr>
            <w:r w:rsidRPr="009B381E">
              <w:t>-bunuri şi servicii</w:t>
            </w:r>
          </w:p>
          <w:p w14:paraId="348C3E53" w14:textId="77777777" w:rsidR="00ED5D29" w:rsidRPr="009B381E" w:rsidRDefault="00ED5D29" w:rsidP="00A70147">
            <w:pPr>
              <w:jc w:val="both"/>
            </w:pPr>
            <w:r w:rsidRPr="009B381E">
              <w:t>b)bugete locale:</w:t>
            </w:r>
          </w:p>
          <w:p w14:paraId="033FBF83" w14:textId="77777777" w:rsidR="00ED5D29" w:rsidRPr="009B381E" w:rsidRDefault="00ED5D29" w:rsidP="00A70147">
            <w:pPr>
              <w:jc w:val="both"/>
            </w:pPr>
            <w:r w:rsidRPr="009B381E">
              <w:t>-cheltuieli de personal</w:t>
            </w:r>
          </w:p>
          <w:p w14:paraId="3FA2B166" w14:textId="77777777" w:rsidR="00ED5D29" w:rsidRPr="009B381E" w:rsidRDefault="00ED5D29" w:rsidP="00A70147">
            <w:pPr>
              <w:jc w:val="both"/>
            </w:pPr>
            <w:r w:rsidRPr="009B381E">
              <w:t>-bunuri şi servicii</w:t>
            </w:r>
          </w:p>
          <w:p w14:paraId="5F7C615C" w14:textId="77777777" w:rsidR="00ED5D29" w:rsidRPr="009B381E" w:rsidRDefault="00ED5D29" w:rsidP="00A70147">
            <w:pPr>
              <w:jc w:val="both"/>
            </w:pPr>
            <w:r w:rsidRPr="009B381E">
              <w:t>c)bugetul asigurărilor sociale</w:t>
            </w:r>
          </w:p>
          <w:p w14:paraId="41AFE5F5" w14:textId="77777777" w:rsidR="00ED5D29" w:rsidRPr="009B381E" w:rsidRDefault="00ED5D29" w:rsidP="00A70147">
            <w:pPr>
              <w:jc w:val="both"/>
            </w:pPr>
            <w:r w:rsidRPr="009B381E">
              <w:t>-cheltuieli de personal</w:t>
            </w:r>
          </w:p>
          <w:p w14:paraId="1415B230" w14:textId="5D911D03" w:rsidR="0025682E" w:rsidRPr="009B381E" w:rsidRDefault="00ED5D29" w:rsidP="00A70147">
            <w:pPr>
              <w:jc w:val="both"/>
            </w:pPr>
            <w:r w:rsidRPr="009B381E">
              <w:t>-bunuri şi servicii</w:t>
            </w:r>
          </w:p>
        </w:tc>
        <w:tc>
          <w:tcPr>
            <w:tcW w:w="1058" w:type="dxa"/>
          </w:tcPr>
          <w:p w14:paraId="7BB1C451" w14:textId="3A3864A6" w:rsidR="00E62BA0" w:rsidRPr="009B381E" w:rsidRDefault="00E62BA0" w:rsidP="00CE2DFA">
            <w:pPr>
              <w:spacing w:line="276" w:lineRule="auto"/>
              <w:jc w:val="center"/>
            </w:pPr>
          </w:p>
        </w:tc>
        <w:tc>
          <w:tcPr>
            <w:tcW w:w="1366" w:type="dxa"/>
          </w:tcPr>
          <w:p w14:paraId="44C5A3FF" w14:textId="75FE5CBB" w:rsidR="00E62BA0" w:rsidRPr="009B381E" w:rsidRDefault="00E62BA0" w:rsidP="00CE2DFA">
            <w:pPr>
              <w:spacing w:line="276" w:lineRule="auto"/>
              <w:jc w:val="center"/>
            </w:pPr>
          </w:p>
        </w:tc>
        <w:tc>
          <w:tcPr>
            <w:tcW w:w="1466" w:type="dxa"/>
          </w:tcPr>
          <w:p w14:paraId="1702DFD2" w14:textId="6D9B32F2" w:rsidR="00E62BA0" w:rsidRPr="009B381E" w:rsidRDefault="00E62BA0" w:rsidP="00CE2DFA">
            <w:pPr>
              <w:spacing w:line="276" w:lineRule="auto"/>
              <w:jc w:val="center"/>
            </w:pPr>
          </w:p>
        </w:tc>
        <w:tc>
          <w:tcPr>
            <w:tcW w:w="1366" w:type="dxa"/>
          </w:tcPr>
          <w:p w14:paraId="1D7B38D6" w14:textId="659DB0F9" w:rsidR="00E62BA0" w:rsidRPr="009B381E" w:rsidRDefault="00E62BA0" w:rsidP="00CE2DFA">
            <w:pPr>
              <w:spacing w:line="276" w:lineRule="auto"/>
              <w:jc w:val="center"/>
            </w:pPr>
          </w:p>
        </w:tc>
        <w:tc>
          <w:tcPr>
            <w:tcW w:w="1135" w:type="dxa"/>
          </w:tcPr>
          <w:p w14:paraId="09F7CD9E" w14:textId="2AFA766B" w:rsidR="00E62BA0" w:rsidRPr="009B381E" w:rsidRDefault="00E62BA0" w:rsidP="00CE2DFA">
            <w:pPr>
              <w:spacing w:line="276" w:lineRule="auto"/>
              <w:jc w:val="center"/>
            </w:pPr>
          </w:p>
        </w:tc>
        <w:tc>
          <w:tcPr>
            <w:tcW w:w="1448" w:type="dxa"/>
          </w:tcPr>
          <w:p w14:paraId="16493B27" w14:textId="191A8F5C" w:rsidR="00E62BA0" w:rsidRPr="009B381E" w:rsidRDefault="00E62BA0" w:rsidP="00095300">
            <w:pPr>
              <w:spacing w:line="276" w:lineRule="auto"/>
              <w:jc w:val="center"/>
            </w:pPr>
          </w:p>
        </w:tc>
      </w:tr>
      <w:tr w:rsidR="00520BE3" w:rsidRPr="009B381E" w14:paraId="260B3CE9" w14:textId="77777777" w:rsidTr="00312FF3">
        <w:tc>
          <w:tcPr>
            <w:tcW w:w="2401" w:type="dxa"/>
          </w:tcPr>
          <w:p w14:paraId="49D40F1D" w14:textId="77777777" w:rsidR="00ED5D29" w:rsidRPr="009B381E" w:rsidRDefault="00ED5D29" w:rsidP="00A70147">
            <w:pPr>
              <w:jc w:val="both"/>
            </w:pPr>
            <w:r w:rsidRPr="009B381E">
              <w:t>3.Impact financiar, plus/minus, din care:</w:t>
            </w:r>
          </w:p>
          <w:p w14:paraId="67549603" w14:textId="77777777" w:rsidR="00ED5D29" w:rsidRPr="009B381E" w:rsidRDefault="00ED5D29" w:rsidP="00A70147">
            <w:pPr>
              <w:jc w:val="both"/>
            </w:pPr>
            <w:r w:rsidRPr="009B381E">
              <w:t>a) buget de stat</w:t>
            </w:r>
          </w:p>
          <w:p w14:paraId="330BE00F" w14:textId="77777777" w:rsidR="00ED5D29" w:rsidRPr="009B381E" w:rsidRDefault="00ED5D29" w:rsidP="00A70147">
            <w:pPr>
              <w:jc w:val="both"/>
            </w:pPr>
            <w:r w:rsidRPr="009B381E">
              <w:t>b)bugete locale</w:t>
            </w:r>
          </w:p>
        </w:tc>
        <w:tc>
          <w:tcPr>
            <w:tcW w:w="7839" w:type="dxa"/>
            <w:gridSpan w:val="6"/>
            <w:vAlign w:val="center"/>
          </w:tcPr>
          <w:p w14:paraId="699F79A9" w14:textId="77777777" w:rsidR="00ED5D29" w:rsidRPr="009B381E" w:rsidRDefault="00ED5D29" w:rsidP="00312FF3">
            <w:pPr>
              <w:spacing w:line="276" w:lineRule="auto"/>
            </w:pPr>
            <w:r w:rsidRPr="009B381E">
              <w:rPr>
                <w:noProof/>
              </w:rPr>
              <w:t>Proiectul de act normativ nu se referă la acest subiect.</w:t>
            </w:r>
          </w:p>
        </w:tc>
      </w:tr>
      <w:tr w:rsidR="00520BE3" w:rsidRPr="009B381E" w14:paraId="675CE50B" w14:textId="77777777" w:rsidTr="00312FF3">
        <w:tc>
          <w:tcPr>
            <w:tcW w:w="2401" w:type="dxa"/>
          </w:tcPr>
          <w:p w14:paraId="182C7B6E" w14:textId="77777777" w:rsidR="00ED5D29" w:rsidRPr="009B381E" w:rsidRDefault="00ED5D29" w:rsidP="00A70147">
            <w:pPr>
              <w:jc w:val="both"/>
            </w:pPr>
            <w:r w:rsidRPr="009B381E">
              <w:t xml:space="preserve">4. Propuneri pentru </w:t>
            </w:r>
          </w:p>
          <w:p w14:paraId="7D87FB0E" w14:textId="77777777" w:rsidR="00ED5D29" w:rsidRPr="009B381E" w:rsidRDefault="00ED5D29" w:rsidP="00A70147">
            <w:pPr>
              <w:jc w:val="both"/>
            </w:pPr>
            <w:r w:rsidRPr="009B381E">
              <w:t>acoperirea creşterilor de cheltuieli</w:t>
            </w:r>
          </w:p>
        </w:tc>
        <w:tc>
          <w:tcPr>
            <w:tcW w:w="7839" w:type="dxa"/>
            <w:gridSpan w:val="6"/>
            <w:vAlign w:val="center"/>
          </w:tcPr>
          <w:p w14:paraId="64B74EF4" w14:textId="77777777" w:rsidR="00ED5D29" w:rsidRPr="009B381E" w:rsidRDefault="00ED5D29" w:rsidP="00312FF3">
            <w:pPr>
              <w:spacing w:line="276" w:lineRule="auto"/>
              <w:rPr>
                <w:noProof/>
              </w:rPr>
            </w:pPr>
            <w:r w:rsidRPr="009B381E">
              <w:rPr>
                <w:noProof/>
              </w:rPr>
              <w:t>Proiectul de act normativ nu se referă la acest subiect.</w:t>
            </w:r>
          </w:p>
        </w:tc>
      </w:tr>
      <w:tr w:rsidR="00520BE3" w:rsidRPr="009B381E" w14:paraId="0436F908" w14:textId="77777777" w:rsidTr="00312FF3">
        <w:tc>
          <w:tcPr>
            <w:tcW w:w="2401" w:type="dxa"/>
          </w:tcPr>
          <w:p w14:paraId="71CBC13E" w14:textId="77777777" w:rsidR="00ED5D29" w:rsidRPr="009B381E" w:rsidRDefault="00ED5D29" w:rsidP="00A70147">
            <w:pPr>
              <w:jc w:val="both"/>
            </w:pPr>
            <w:r w:rsidRPr="009B381E">
              <w:t>5. Propuneri pentru acoperirea scăderilor  de venituri</w:t>
            </w:r>
          </w:p>
        </w:tc>
        <w:tc>
          <w:tcPr>
            <w:tcW w:w="7839" w:type="dxa"/>
            <w:gridSpan w:val="6"/>
            <w:vAlign w:val="center"/>
          </w:tcPr>
          <w:p w14:paraId="30C15718" w14:textId="77777777" w:rsidR="00ED5D29" w:rsidRPr="009B381E" w:rsidRDefault="00ED5D29" w:rsidP="00312FF3">
            <w:pPr>
              <w:spacing w:line="276" w:lineRule="auto"/>
              <w:rPr>
                <w:noProof/>
              </w:rPr>
            </w:pPr>
            <w:r w:rsidRPr="009B381E">
              <w:rPr>
                <w:noProof/>
              </w:rPr>
              <w:t>Proiectul de act normativ nu se referă la acest subiect.</w:t>
            </w:r>
          </w:p>
        </w:tc>
      </w:tr>
      <w:tr w:rsidR="00520BE3" w:rsidRPr="009B381E" w14:paraId="47075FD6" w14:textId="77777777" w:rsidTr="00312FF3">
        <w:tc>
          <w:tcPr>
            <w:tcW w:w="2401" w:type="dxa"/>
          </w:tcPr>
          <w:p w14:paraId="4BFC5C0E" w14:textId="59AD6F11" w:rsidR="0025682E" w:rsidRPr="009B381E" w:rsidRDefault="00ED5D29" w:rsidP="00A70147">
            <w:pPr>
              <w:jc w:val="both"/>
            </w:pPr>
            <w:r w:rsidRPr="009B381E">
              <w:t>6. Calcule detaliate privind fundamentarea modificărilor  veniturilor şi/sau cheltuielilor bugetare</w:t>
            </w:r>
          </w:p>
        </w:tc>
        <w:tc>
          <w:tcPr>
            <w:tcW w:w="7839" w:type="dxa"/>
            <w:gridSpan w:val="6"/>
            <w:vAlign w:val="center"/>
          </w:tcPr>
          <w:p w14:paraId="2B646F1C" w14:textId="77777777" w:rsidR="00ED5D29" w:rsidRPr="009B381E" w:rsidRDefault="00ED5D29" w:rsidP="00312FF3">
            <w:pPr>
              <w:spacing w:line="276" w:lineRule="auto"/>
              <w:rPr>
                <w:noProof/>
              </w:rPr>
            </w:pPr>
            <w:r w:rsidRPr="009B381E">
              <w:rPr>
                <w:noProof/>
              </w:rPr>
              <w:t>Proiectul de act normativ nu se referă la acest subiect.</w:t>
            </w:r>
          </w:p>
        </w:tc>
      </w:tr>
      <w:tr w:rsidR="00520BE3" w:rsidRPr="009B381E" w14:paraId="134CE0E5" w14:textId="77777777" w:rsidTr="00312FF3">
        <w:tc>
          <w:tcPr>
            <w:tcW w:w="2401" w:type="dxa"/>
          </w:tcPr>
          <w:p w14:paraId="00F46658" w14:textId="77777777" w:rsidR="00ED5D29" w:rsidRPr="009B381E" w:rsidRDefault="00ED5D29" w:rsidP="00A70147">
            <w:pPr>
              <w:jc w:val="both"/>
            </w:pPr>
            <w:r w:rsidRPr="009B381E">
              <w:lastRenderedPageBreak/>
              <w:t>7. Alte informaţii</w:t>
            </w:r>
          </w:p>
        </w:tc>
        <w:tc>
          <w:tcPr>
            <w:tcW w:w="7839" w:type="dxa"/>
            <w:gridSpan w:val="6"/>
          </w:tcPr>
          <w:p w14:paraId="3B06EA07" w14:textId="26282699" w:rsidR="0013619D" w:rsidRPr="009B381E" w:rsidRDefault="00F941F9" w:rsidP="00095300">
            <w:pPr>
              <w:spacing w:before="120" w:after="120" w:line="276" w:lineRule="auto"/>
              <w:jc w:val="both"/>
            </w:pPr>
            <w:r w:rsidRPr="009B381E">
              <w:t>Nu au fost identificate.</w:t>
            </w:r>
          </w:p>
        </w:tc>
      </w:tr>
    </w:tbl>
    <w:p w14:paraId="2F7ACEA9" w14:textId="244FFF1C" w:rsidR="003864F6" w:rsidRPr="009B381E" w:rsidRDefault="00670C79" w:rsidP="00312FF3">
      <w:pPr>
        <w:spacing w:line="276" w:lineRule="auto"/>
        <w:jc w:val="both"/>
        <w:rPr>
          <w:b/>
        </w:rPr>
      </w:pPr>
      <w:r w:rsidRPr="009B381E">
        <w:rPr>
          <w:b/>
        </w:rPr>
        <w:t xml:space="preserve">   </w:t>
      </w:r>
    </w:p>
    <w:p w14:paraId="7E1BCAF6" w14:textId="7C119B3A" w:rsidR="00670C79" w:rsidRPr="009B381E" w:rsidRDefault="00DB715E" w:rsidP="00312FF3">
      <w:pPr>
        <w:spacing w:line="276" w:lineRule="auto"/>
        <w:jc w:val="both"/>
        <w:rPr>
          <w:b/>
        </w:rPr>
      </w:pPr>
      <w:r w:rsidRPr="009B381E">
        <w:rPr>
          <w:b/>
        </w:rPr>
        <w:t xml:space="preserve">  </w:t>
      </w:r>
      <w:r w:rsidR="00AA6FD4" w:rsidRPr="009B381E">
        <w:rPr>
          <w:b/>
        </w:rPr>
        <w:t xml:space="preserve">  </w:t>
      </w:r>
      <w:r w:rsidR="007C16BF" w:rsidRPr="009B381E">
        <w:rPr>
          <w:b/>
        </w:rPr>
        <w:t xml:space="preserve"> </w:t>
      </w:r>
      <w:r w:rsidR="00AA6FD4" w:rsidRPr="009B381E">
        <w:rPr>
          <w:b/>
        </w:rPr>
        <w:t xml:space="preserve">  </w:t>
      </w:r>
      <w:r w:rsidR="00670C79" w:rsidRPr="009B381E">
        <w:rPr>
          <w:b/>
        </w:rPr>
        <w:t>Secţiunea a 5-a - Efectele proiectului de act normativ asupra legislaţiei în vigoare</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1"/>
        <w:gridCol w:w="5209"/>
      </w:tblGrid>
      <w:tr w:rsidR="00520BE3" w:rsidRPr="009B381E" w14:paraId="327176B4" w14:textId="77777777" w:rsidTr="002C63A8">
        <w:trPr>
          <w:trHeight w:val="561"/>
        </w:trPr>
        <w:tc>
          <w:tcPr>
            <w:tcW w:w="5031" w:type="dxa"/>
          </w:tcPr>
          <w:p w14:paraId="0B464A83" w14:textId="77777777" w:rsidR="00670C79" w:rsidRPr="009B381E" w:rsidRDefault="00670C79" w:rsidP="00A70147">
            <w:pPr>
              <w:jc w:val="both"/>
            </w:pPr>
            <w:r w:rsidRPr="009B381E">
              <w:t>1.Măsuri normative necesare pentru aplicarea prevederilor proiectului de act normativ:</w:t>
            </w:r>
          </w:p>
          <w:p w14:paraId="22A542E8" w14:textId="77777777" w:rsidR="00670C79" w:rsidRPr="009B381E" w:rsidRDefault="00670C79" w:rsidP="00A70147">
            <w:pPr>
              <w:jc w:val="both"/>
            </w:pPr>
            <w:r w:rsidRPr="009B381E">
              <w:t>a) acte normative în vigoare ce vor fi modificate sau abrogate, ca urmare a intrării în vigoare a proiectului de act normativ;</w:t>
            </w:r>
          </w:p>
          <w:p w14:paraId="7D58B0F1" w14:textId="2312F39B" w:rsidR="00670C79" w:rsidRPr="009B381E" w:rsidRDefault="00670C79" w:rsidP="00A70147">
            <w:pPr>
              <w:jc w:val="both"/>
            </w:pPr>
            <w:r w:rsidRPr="009B381E">
              <w:t>b) acte normative ce urmează a fi elaborate în vederea implementării noilor dispoziţii.</w:t>
            </w:r>
          </w:p>
        </w:tc>
        <w:tc>
          <w:tcPr>
            <w:tcW w:w="5209" w:type="dxa"/>
          </w:tcPr>
          <w:p w14:paraId="7C430706" w14:textId="0CE8CBF0" w:rsidR="004D210B" w:rsidRPr="009B381E" w:rsidRDefault="00F17A84" w:rsidP="00312FF3">
            <w:pPr>
              <w:pStyle w:val="ListParagraph"/>
              <w:tabs>
                <w:tab w:val="left" w:pos="201"/>
              </w:tabs>
              <w:spacing w:line="276" w:lineRule="auto"/>
              <w:ind w:left="59"/>
              <w:jc w:val="both"/>
              <w:rPr>
                <w:rFonts w:ascii="Times New Roman" w:hAnsi="Times New Roman" w:cs="Times New Roman"/>
              </w:rPr>
            </w:pPr>
            <w:r w:rsidRPr="00F17A84">
              <w:rPr>
                <w:rFonts w:ascii="Times New Roman" w:hAnsi="Times New Roman" w:cs="Times New Roman"/>
              </w:rPr>
              <w:t>b) În vederea implementării dispoziţiilor art.</w:t>
            </w:r>
            <w:r w:rsidR="00C63EFC">
              <w:rPr>
                <w:rFonts w:ascii="Times New Roman" w:hAnsi="Times New Roman" w:cs="Times New Roman"/>
              </w:rPr>
              <w:t xml:space="preserve"> </w:t>
            </w:r>
            <w:r w:rsidRPr="00F17A84">
              <w:rPr>
                <w:rFonts w:ascii="Times New Roman" w:hAnsi="Times New Roman" w:cs="Times New Roman"/>
              </w:rPr>
              <w:t>9 din prezenta hotărâre, va fi emis ordin comun al ministrului investițiilor și proiectelor europene şi al ministrului finanţelor</w:t>
            </w:r>
            <w:r w:rsidR="006D37D0" w:rsidRPr="009B381E">
              <w:rPr>
                <w:rFonts w:ascii="Times New Roman" w:hAnsi="Times New Roman" w:cs="Times New Roman"/>
              </w:rPr>
              <w:t>.</w:t>
            </w:r>
          </w:p>
        </w:tc>
      </w:tr>
      <w:tr w:rsidR="00520BE3" w:rsidRPr="009B381E" w14:paraId="457614B1" w14:textId="77777777" w:rsidTr="002C63A8">
        <w:trPr>
          <w:trHeight w:val="636"/>
        </w:trPr>
        <w:tc>
          <w:tcPr>
            <w:tcW w:w="5031" w:type="dxa"/>
          </w:tcPr>
          <w:p w14:paraId="45E3A53E" w14:textId="368D9180" w:rsidR="00670C79" w:rsidRPr="009B381E" w:rsidRDefault="00670C79" w:rsidP="00A70147">
            <w:pPr>
              <w:pStyle w:val="HTMLPreformatted"/>
              <w:shd w:val="clear" w:color="auto" w:fill="FFFFFF"/>
              <w:jc w:val="both"/>
              <w:rPr>
                <w:rFonts w:ascii="Times New Roman" w:hAnsi="Times New Roman" w:cs="Times New Roman"/>
                <w:sz w:val="24"/>
                <w:szCs w:val="24"/>
              </w:rPr>
            </w:pPr>
            <w:r w:rsidRPr="009B381E">
              <w:rPr>
                <w:rFonts w:ascii="Times New Roman" w:hAnsi="Times New Roman" w:cs="Times New Roman"/>
                <w:sz w:val="24"/>
                <w:szCs w:val="24"/>
              </w:rPr>
              <w:t>1</w:t>
            </w:r>
            <w:r w:rsidRPr="002C2246">
              <w:rPr>
                <w:rFonts w:ascii="Times New Roman" w:hAnsi="Times New Roman" w:cs="Times New Roman"/>
                <w:sz w:val="24"/>
                <w:szCs w:val="24"/>
                <w:vertAlign w:val="superscript"/>
              </w:rPr>
              <w:t>1</w:t>
            </w:r>
            <w:r w:rsidRPr="009B381E">
              <w:rPr>
                <w:rFonts w:ascii="Times New Roman" w:hAnsi="Times New Roman" w:cs="Times New Roman"/>
                <w:sz w:val="24"/>
                <w:szCs w:val="24"/>
              </w:rPr>
              <w:t>. Compatibilitatea proiectului de act normativ cu legislaţia în domeniul achiziţiilor publice</w:t>
            </w:r>
          </w:p>
        </w:tc>
        <w:tc>
          <w:tcPr>
            <w:tcW w:w="5209" w:type="dxa"/>
          </w:tcPr>
          <w:p w14:paraId="49470ACC" w14:textId="77777777" w:rsidR="00670C79" w:rsidRPr="009B381E" w:rsidRDefault="00670C79" w:rsidP="00312FF3">
            <w:pPr>
              <w:spacing w:line="276" w:lineRule="auto"/>
              <w:jc w:val="both"/>
            </w:pPr>
            <w:r w:rsidRPr="009B381E">
              <w:t>Proiectul de act normativ nu se referă la acest subiect.</w:t>
            </w:r>
          </w:p>
        </w:tc>
      </w:tr>
      <w:tr w:rsidR="00520BE3" w:rsidRPr="009B381E" w14:paraId="787E8B98" w14:textId="77777777" w:rsidTr="002C63A8">
        <w:tc>
          <w:tcPr>
            <w:tcW w:w="5031" w:type="dxa"/>
          </w:tcPr>
          <w:p w14:paraId="5E04A94F" w14:textId="77777777" w:rsidR="00670C79" w:rsidRPr="009B381E" w:rsidRDefault="00670C79" w:rsidP="00A70147">
            <w:pPr>
              <w:jc w:val="both"/>
            </w:pPr>
            <w:r w:rsidRPr="009B381E">
              <w:t>2. Conformitatea  proiectului de act normativ cu legislaţia comunitară în cazul proiectelor ce transpun prevederi comunitare</w:t>
            </w:r>
          </w:p>
        </w:tc>
        <w:tc>
          <w:tcPr>
            <w:tcW w:w="5209" w:type="dxa"/>
            <w:vAlign w:val="center"/>
          </w:tcPr>
          <w:p w14:paraId="73E021D3" w14:textId="77777777" w:rsidR="00670C79" w:rsidRPr="009B381E" w:rsidRDefault="00670C79" w:rsidP="00312FF3">
            <w:pPr>
              <w:spacing w:line="276" w:lineRule="auto"/>
              <w:jc w:val="both"/>
            </w:pPr>
            <w:r w:rsidRPr="009B381E">
              <w:t>Proiectul de act normativ nu se referă la acest subiect.</w:t>
            </w:r>
          </w:p>
        </w:tc>
      </w:tr>
      <w:tr w:rsidR="009F22AF" w:rsidRPr="009B381E" w14:paraId="344D3A2E" w14:textId="77777777" w:rsidTr="002C63A8">
        <w:tc>
          <w:tcPr>
            <w:tcW w:w="5031" w:type="dxa"/>
          </w:tcPr>
          <w:p w14:paraId="1C80FA7B" w14:textId="2D293DAB" w:rsidR="009F22AF" w:rsidRPr="009B381E" w:rsidRDefault="009F22AF" w:rsidP="00A70147">
            <w:pPr>
              <w:jc w:val="both"/>
            </w:pPr>
            <w:r w:rsidRPr="009B381E">
              <w:t>3. Măsuri normative necesare aplicării directe a actelor normative comunitare europene</w:t>
            </w:r>
          </w:p>
        </w:tc>
        <w:tc>
          <w:tcPr>
            <w:tcW w:w="5209" w:type="dxa"/>
            <w:vAlign w:val="center"/>
          </w:tcPr>
          <w:p w14:paraId="1B15F463" w14:textId="50F11ED0" w:rsidR="009F22AF" w:rsidRPr="009B381E" w:rsidRDefault="009F22AF" w:rsidP="00470D87">
            <w:pPr>
              <w:spacing w:line="276" w:lineRule="auto"/>
              <w:jc w:val="both"/>
            </w:pPr>
            <w:r w:rsidRPr="009B381E">
              <w:t xml:space="preserve">Proiectul de act normativ </w:t>
            </w:r>
            <w:r w:rsidR="00BA328B">
              <w:t xml:space="preserve">este necesar în vederea aplicării </w:t>
            </w:r>
            <w:r w:rsidR="007B18B0">
              <w:rPr>
                <w:lang w:eastAsia="en-GB"/>
              </w:rPr>
              <w:t xml:space="preserve">art. 63 alin. (1) din </w:t>
            </w:r>
            <w:r w:rsidR="00BA328B" w:rsidRPr="00BA328B">
              <w:t>Regulamentul</w:t>
            </w:r>
            <w:r w:rsidR="007B18B0">
              <w:t xml:space="preserve"> </w:t>
            </w:r>
            <w:r w:rsidR="00BA328B" w:rsidRPr="00BA328B">
              <w:t xml:space="preserve">(UE) </w:t>
            </w:r>
            <w:r w:rsidR="00470D87">
              <w:t>2021</w:t>
            </w:r>
            <w:r w:rsidR="009C589D">
              <w:t>/1060</w:t>
            </w:r>
            <w:r w:rsidR="00BA328B" w:rsidRPr="00BA328B">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F37BD6">
              <w:t>.</w:t>
            </w:r>
          </w:p>
        </w:tc>
      </w:tr>
      <w:tr w:rsidR="00520BE3" w:rsidRPr="009B381E" w14:paraId="64CA1687" w14:textId="77777777" w:rsidTr="002C63A8">
        <w:tc>
          <w:tcPr>
            <w:tcW w:w="5031" w:type="dxa"/>
          </w:tcPr>
          <w:p w14:paraId="29BE2E72" w14:textId="77777777" w:rsidR="00670C79" w:rsidRPr="009B381E" w:rsidRDefault="00670C79" w:rsidP="00A70147">
            <w:pPr>
              <w:jc w:val="both"/>
            </w:pPr>
            <w:r w:rsidRPr="009B381E">
              <w:t>4. Hotărâri ale Curţii de Justiţie a Uniunii Europene</w:t>
            </w:r>
          </w:p>
        </w:tc>
        <w:tc>
          <w:tcPr>
            <w:tcW w:w="5209" w:type="dxa"/>
            <w:vAlign w:val="center"/>
          </w:tcPr>
          <w:p w14:paraId="0008985F" w14:textId="77777777" w:rsidR="00670C79" w:rsidRPr="009B381E" w:rsidRDefault="00670C79" w:rsidP="00312FF3">
            <w:pPr>
              <w:spacing w:line="276" w:lineRule="auto"/>
              <w:jc w:val="both"/>
            </w:pPr>
            <w:r w:rsidRPr="009B381E">
              <w:t>Proiectul de act normativ nu se referă la acest subiect.</w:t>
            </w:r>
          </w:p>
        </w:tc>
      </w:tr>
      <w:tr w:rsidR="00520BE3" w:rsidRPr="009B381E" w14:paraId="107AD4C3" w14:textId="77777777" w:rsidTr="002C63A8">
        <w:tc>
          <w:tcPr>
            <w:tcW w:w="5031" w:type="dxa"/>
          </w:tcPr>
          <w:p w14:paraId="37CF24B8" w14:textId="77777777" w:rsidR="00670C79" w:rsidRPr="009B381E" w:rsidRDefault="00670C79" w:rsidP="00A70147">
            <w:pPr>
              <w:jc w:val="both"/>
            </w:pPr>
            <w:r w:rsidRPr="009B381E">
              <w:t>5. Alte acte normative şi/sau documente internaţionale din care decurg angajamente</w:t>
            </w:r>
          </w:p>
        </w:tc>
        <w:tc>
          <w:tcPr>
            <w:tcW w:w="5209" w:type="dxa"/>
            <w:vAlign w:val="center"/>
          </w:tcPr>
          <w:p w14:paraId="20C068A2" w14:textId="77777777" w:rsidR="00670C79" w:rsidRPr="009B381E" w:rsidRDefault="00670C79" w:rsidP="00312FF3">
            <w:pPr>
              <w:spacing w:line="276" w:lineRule="auto"/>
              <w:jc w:val="both"/>
            </w:pPr>
            <w:r w:rsidRPr="009B381E">
              <w:t>Proiectul de act normativ nu se referă la acest subiect.</w:t>
            </w:r>
          </w:p>
        </w:tc>
      </w:tr>
      <w:tr w:rsidR="00670C79" w:rsidRPr="009B381E" w14:paraId="56F5B91F" w14:textId="77777777" w:rsidTr="002C63A8">
        <w:tc>
          <w:tcPr>
            <w:tcW w:w="5031" w:type="dxa"/>
          </w:tcPr>
          <w:p w14:paraId="5341025F" w14:textId="77777777" w:rsidR="00670C79" w:rsidRPr="009B381E" w:rsidRDefault="00670C79" w:rsidP="00A70147">
            <w:pPr>
              <w:jc w:val="both"/>
            </w:pPr>
            <w:r w:rsidRPr="009B381E">
              <w:t>6.Alte informaţii</w:t>
            </w:r>
          </w:p>
        </w:tc>
        <w:tc>
          <w:tcPr>
            <w:tcW w:w="5209" w:type="dxa"/>
            <w:vAlign w:val="center"/>
          </w:tcPr>
          <w:p w14:paraId="0004E5EF" w14:textId="77777777" w:rsidR="00670C79" w:rsidRPr="009B381E" w:rsidRDefault="00670C79" w:rsidP="00312FF3">
            <w:pPr>
              <w:spacing w:line="276" w:lineRule="auto"/>
              <w:jc w:val="both"/>
            </w:pPr>
            <w:r w:rsidRPr="009B381E">
              <w:t>Nu au fost identificate.</w:t>
            </w:r>
          </w:p>
        </w:tc>
      </w:tr>
    </w:tbl>
    <w:p w14:paraId="7203B83A" w14:textId="77777777" w:rsidR="00DB715E" w:rsidRPr="009B381E" w:rsidRDefault="00DB715E" w:rsidP="00312FF3">
      <w:pPr>
        <w:spacing w:line="276" w:lineRule="auto"/>
        <w:rPr>
          <w:b/>
        </w:rPr>
      </w:pPr>
      <w:r w:rsidRPr="009B381E">
        <w:rPr>
          <w:b/>
        </w:rPr>
        <w:t xml:space="preserve">   </w:t>
      </w:r>
    </w:p>
    <w:p w14:paraId="20C3AB79" w14:textId="72503186" w:rsidR="00A70147" w:rsidRPr="009B381E" w:rsidRDefault="00DB715E" w:rsidP="00312FF3">
      <w:pPr>
        <w:spacing w:line="276" w:lineRule="auto"/>
        <w:rPr>
          <w:b/>
        </w:rPr>
      </w:pPr>
      <w:r w:rsidRPr="009B381E">
        <w:rPr>
          <w:b/>
        </w:rPr>
        <w:t xml:space="preserve">  </w:t>
      </w:r>
      <w:r w:rsidR="00AA6FD4" w:rsidRPr="009B381E">
        <w:rPr>
          <w:b/>
        </w:rPr>
        <w:t xml:space="preserve"> </w:t>
      </w:r>
    </w:p>
    <w:p w14:paraId="4113E59E" w14:textId="560D6C89" w:rsidR="00670C79" w:rsidRPr="009B381E" w:rsidRDefault="00DB715E" w:rsidP="00312FF3">
      <w:pPr>
        <w:spacing w:line="276" w:lineRule="auto"/>
        <w:rPr>
          <w:b/>
        </w:rPr>
      </w:pPr>
      <w:r w:rsidRPr="009B381E">
        <w:rPr>
          <w:b/>
        </w:rPr>
        <w:t xml:space="preserve"> </w:t>
      </w:r>
      <w:r w:rsidR="00AA6FD4" w:rsidRPr="009B381E">
        <w:rPr>
          <w:b/>
        </w:rPr>
        <w:t xml:space="preserve">   </w:t>
      </w:r>
      <w:r w:rsidR="007C16BF" w:rsidRPr="009B381E">
        <w:rPr>
          <w:b/>
        </w:rPr>
        <w:t xml:space="preserve"> </w:t>
      </w:r>
      <w:r w:rsidR="00670C79" w:rsidRPr="009B381E">
        <w:rPr>
          <w:b/>
        </w:rPr>
        <w:t>6. Consultările efectuate în vederea elaborării proiectului de act normativ</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1"/>
        <w:gridCol w:w="5209"/>
      </w:tblGrid>
      <w:tr w:rsidR="00520BE3" w:rsidRPr="009B381E" w14:paraId="65D4A307" w14:textId="77777777" w:rsidTr="002C63A8">
        <w:tc>
          <w:tcPr>
            <w:tcW w:w="5031" w:type="dxa"/>
          </w:tcPr>
          <w:p w14:paraId="335CB085" w14:textId="77777777" w:rsidR="00670C79" w:rsidRPr="009B381E" w:rsidRDefault="00670C79" w:rsidP="00A70147">
            <w:pPr>
              <w:jc w:val="both"/>
            </w:pPr>
            <w:r w:rsidRPr="009B381E">
              <w:t>1.Informaţii privind procesul de consultare cu organizaţii neguvernamentale, instituite de cercetare şi alte organisme implicate</w:t>
            </w:r>
          </w:p>
        </w:tc>
        <w:tc>
          <w:tcPr>
            <w:tcW w:w="5209" w:type="dxa"/>
          </w:tcPr>
          <w:p w14:paraId="05ECBB28" w14:textId="3AFFBCD4" w:rsidR="00670C79" w:rsidRPr="009B381E" w:rsidRDefault="00670C79" w:rsidP="00A70147">
            <w:pPr>
              <w:jc w:val="both"/>
            </w:pPr>
            <w:r w:rsidRPr="009B381E">
              <w:t xml:space="preserve"> </w:t>
            </w:r>
            <w:r w:rsidR="003E080A" w:rsidRPr="009B381E">
              <w:t>Proiectul de act normativ nu se referă la acest subiect.</w:t>
            </w:r>
          </w:p>
        </w:tc>
      </w:tr>
      <w:tr w:rsidR="00520BE3" w:rsidRPr="009B381E" w14:paraId="16D0661E" w14:textId="77777777" w:rsidTr="002C63A8">
        <w:tc>
          <w:tcPr>
            <w:tcW w:w="5031" w:type="dxa"/>
          </w:tcPr>
          <w:p w14:paraId="297F37E9" w14:textId="77777777" w:rsidR="00670C79" w:rsidRPr="009B381E" w:rsidRDefault="00670C79" w:rsidP="00A70147">
            <w:pPr>
              <w:jc w:val="both"/>
            </w:pPr>
            <w:r w:rsidRPr="009B381E">
              <w:t>2.Fundamentarea alegerii organizaţiilor cu care a avut loc consultarea, precum şi a modului în care activitatea acestor organizaţii este legată de obiectivul proiectului de act normativ</w:t>
            </w:r>
          </w:p>
        </w:tc>
        <w:tc>
          <w:tcPr>
            <w:tcW w:w="5209" w:type="dxa"/>
            <w:vAlign w:val="center"/>
          </w:tcPr>
          <w:p w14:paraId="10909C7F" w14:textId="77777777" w:rsidR="00670C79" w:rsidRPr="009B381E" w:rsidRDefault="00670C79" w:rsidP="00A70147">
            <w:pPr>
              <w:jc w:val="both"/>
            </w:pPr>
            <w:r w:rsidRPr="009B381E">
              <w:t>Proiectul de act normativ nu se referă la acest subiect.</w:t>
            </w:r>
          </w:p>
        </w:tc>
      </w:tr>
      <w:tr w:rsidR="00520BE3" w:rsidRPr="009B381E" w14:paraId="19A2A59D" w14:textId="77777777" w:rsidTr="002C63A8">
        <w:tc>
          <w:tcPr>
            <w:tcW w:w="5031" w:type="dxa"/>
          </w:tcPr>
          <w:p w14:paraId="53EA464B" w14:textId="77777777" w:rsidR="00670C79" w:rsidRPr="009B381E" w:rsidRDefault="00670C79" w:rsidP="00A70147">
            <w:pPr>
              <w:jc w:val="both"/>
            </w:pPr>
            <w:r w:rsidRPr="009B381E">
              <w:lastRenderedPageBreak/>
              <w:t>3.Consultările organizate cu autorităţile administraţiei publice locale, în situaţia în care proiectul de act normativ are ca obiect activităţi ale acestor autorităţi, în condiţiile Hotărârii Guvernului nr. 521/2005 privind procedura de consultare a structurilor asociative ale autorităţilor administraţiei publice locale la elaborarea proiectelor de acte normative</w:t>
            </w:r>
          </w:p>
        </w:tc>
        <w:tc>
          <w:tcPr>
            <w:tcW w:w="5209" w:type="dxa"/>
            <w:vAlign w:val="center"/>
          </w:tcPr>
          <w:p w14:paraId="0427408A" w14:textId="48A825BC" w:rsidR="00670C79" w:rsidRDefault="004D210B" w:rsidP="00A70147">
            <w:pPr>
              <w:jc w:val="both"/>
            </w:pPr>
            <w:r w:rsidRPr="009B381E">
              <w:t xml:space="preserve"> </w:t>
            </w:r>
            <w:r w:rsidRPr="002C2246">
              <w:t>A fost realizată procedura de consultare în conformitate cu prevederile Ordonanței de urgență a Guvernului nr. 57/2019 privind Codul administrativ, cu completările ulterioare, precum și ale Hotărârii Guvernului nr. 521/2005 privind procedura de consultare a structurilor asociative ale autorităţilor administraţiei publice locale la elaborarea proiectelor de acte normative.</w:t>
            </w:r>
          </w:p>
          <w:p w14:paraId="5D978A54" w14:textId="4E13AABA" w:rsidR="002E54DC" w:rsidRPr="009B381E" w:rsidRDefault="002E54DC" w:rsidP="00A70147">
            <w:pPr>
              <w:jc w:val="both"/>
            </w:pPr>
          </w:p>
        </w:tc>
      </w:tr>
      <w:tr w:rsidR="00520BE3" w:rsidRPr="009B381E" w14:paraId="0D4EB37E" w14:textId="77777777" w:rsidTr="002C63A8">
        <w:tc>
          <w:tcPr>
            <w:tcW w:w="5031" w:type="dxa"/>
          </w:tcPr>
          <w:p w14:paraId="0FB83D7F" w14:textId="77777777" w:rsidR="00670C79" w:rsidRPr="009B381E" w:rsidRDefault="00670C79" w:rsidP="00A70147">
            <w:pPr>
              <w:jc w:val="both"/>
            </w:pPr>
            <w:r w:rsidRPr="009B381E">
              <w:t>4.Consultările desfăşurate în cadrul consiliilor interministeriale, în conformitate cu prevederile Hotărârii Guvernului nr. 750/2005 privind constituirea consiliilor interministeriale permanente</w:t>
            </w:r>
          </w:p>
        </w:tc>
        <w:tc>
          <w:tcPr>
            <w:tcW w:w="5209" w:type="dxa"/>
            <w:vAlign w:val="center"/>
          </w:tcPr>
          <w:p w14:paraId="2A1BF33A" w14:textId="77777777" w:rsidR="00670C79" w:rsidRPr="009B381E" w:rsidRDefault="00670C79" w:rsidP="00A70147">
            <w:pPr>
              <w:jc w:val="both"/>
            </w:pPr>
            <w:r w:rsidRPr="009B381E">
              <w:t>Proiectul de act normativ nu se referă la acest subiect.</w:t>
            </w:r>
          </w:p>
        </w:tc>
      </w:tr>
      <w:tr w:rsidR="00520BE3" w:rsidRPr="009B381E" w14:paraId="5B65EE0A" w14:textId="77777777" w:rsidTr="002C63A8">
        <w:tc>
          <w:tcPr>
            <w:tcW w:w="5031" w:type="dxa"/>
          </w:tcPr>
          <w:p w14:paraId="1F489DD3" w14:textId="77777777" w:rsidR="00670C79" w:rsidRPr="009B381E" w:rsidRDefault="00670C79" w:rsidP="00A70147">
            <w:r w:rsidRPr="009B381E">
              <w:t>5.Informaţii privind avizarea de către:</w:t>
            </w:r>
          </w:p>
          <w:p w14:paraId="3FDB7235" w14:textId="77777777" w:rsidR="00670C79" w:rsidRPr="009B381E" w:rsidRDefault="00670C79" w:rsidP="00A70147">
            <w:r w:rsidRPr="009B381E">
              <w:t>a) Consiliul legislativ</w:t>
            </w:r>
          </w:p>
          <w:p w14:paraId="60B92AD3" w14:textId="77777777" w:rsidR="00670C79" w:rsidRPr="009B381E" w:rsidRDefault="00670C79" w:rsidP="00A70147">
            <w:r w:rsidRPr="009B381E">
              <w:t>b)Consiliul Suprem de Apărare a Ţării</w:t>
            </w:r>
          </w:p>
          <w:p w14:paraId="3AACDD1C" w14:textId="77777777" w:rsidR="00670C79" w:rsidRPr="009B381E" w:rsidRDefault="00670C79" w:rsidP="00A70147">
            <w:r w:rsidRPr="009B381E">
              <w:t>c)Consiliul Economic şi Social</w:t>
            </w:r>
          </w:p>
          <w:p w14:paraId="14AB49B3" w14:textId="77777777" w:rsidR="00670C79" w:rsidRPr="009B381E" w:rsidRDefault="00670C79" w:rsidP="00A70147">
            <w:r w:rsidRPr="009B381E">
              <w:t xml:space="preserve">d)Consiliul Concurenţei </w:t>
            </w:r>
          </w:p>
          <w:p w14:paraId="0A37194B" w14:textId="77777777" w:rsidR="00670C79" w:rsidRPr="009B381E" w:rsidRDefault="00670C79" w:rsidP="00A70147">
            <w:r w:rsidRPr="009B381E">
              <w:t>e)Curtea de Conturi</w:t>
            </w:r>
          </w:p>
        </w:tc>
        <w:tc>
          <w:tcPr>
            <w:tcW w:w="5209" w:type="dxa"/>
            <w:vAlign w:val="center"/>
          </w:tcPr>
          <w:p w14:paraId="3B7D407F" w14:textId="3093D5C2" w:rsidR="000E6E89" w:rsidRDefault="004B13DF" w:rsidP="00A70147">
            <w:pPr>
              <w:jc w:val="both"/>
            </w:pPr>
            <w:r w:rsidRPr="002C1BFC">
              <w:t>Prezentul proiect de act normativ este supus avizării Consiliului Legislativ</w:t>
            </w:r>
            <w:r w:rsidR="000E6E89">
              <w:t>.</w:t>
            </w:r>
          </w:p>
          <w:p w14:paraId="642A8A67" w14:textId="77777777" w:rsidR="000E6E89" w:rsidRDefault="000E6E89" w:rsidP="00A70147">
            <w:pPr>
              <w:jc w:val="both"/>
            </w:pPr>
            <w:r>
              <w:t xml:space="preserve">De asemenea, proiectul de act normativ a fost înaintat </w:t>
            </w:r>
            <w:r w:rsidR="002E54DC">
              <w:t>Consiliului Concurenței</w:t>
            </w:r>
            <w:r>
              <w:t>, Curții de Conturi a României</w:t>
            </w:r>
            <w:r w:rsidR="002E54DC">
              <w:t xml:space="preserve"> și Autorității de Audit</w:t>
            </w:r>
            <w:r>
              <w:t>, în vederea analizării.</w:t>
            </w:r>
          </w:p>
          <w:p w14:paraId="7ED20DBC" w14:textId="327C4A65" w:rsidR="00670C79" w:rsidRPr="009B381E" w:rsidRDefault="00670C79" w:rsidP="00A70147">
            <w:pPr>
              <w:jc w:val="both"/>
            </w:pPr>
          </w:p>
        </w:tc>
      </w:tr>
      <w:tr w:rsidR="006449AD" w:rsidRPr="009B381E" w14:paraId="4938D81B" w14:textId="77777777" w:rsidTr="002C63A8">
        <w:tc>
          <w:tcPr>
            <w:tcW w:w="5031" w:type="dxa"/>
          </w:tcPr>
          <w:p w14:paraId="7069E280" w14:textId="77777777" w:rsidR="00670C79" w:rsidRPr="009B381E" w:rsidRDefault="00670C79" w:rsidP="00A70147">
            <w:r w:rsidRPr="009B381E">
              <w:t>6.Alte informaţii</w:t>
            </w:r>
          </w:p>
        </w:tc>
        <w:tc>
          <w:tcPr>
            <w:tcW w:w="5209" w:type="dxa"/>
            <w:vAlign w:val="center"/>
          </w:tcPr>
          <w:p w14:paraId="292345C8" w14:textId="77777777" w:rsidR="00670C79" w:rsidRPr="009B381E" w:rsidRDefault="00670C79" w:rsidP="00A70147">
            <w:pPr>
              <w:jc w:val="both"/>
            </w:pPr>
            <w:r w:rsidRPr="009B381E">
              <w:t>Nu au fost identificate.</w:t>
            </w:r>
          </w:p>
        </w:tc>
      </w:tr>
    </w:tbl>
    <w:p w14:paraId="424EDF0A" w14:textId="77777777" w:rsidR="00A70147" w:rsidRDefault="00A70147" w:rsidP="00312FF3">
      <w:pPr>
        <w:pStyle w:val="BodyTextIndent2"/>
        <w:spacing w:before="0" w:after="0" w:line="276" w:lineRule="auto"/>
        <w:ind w:left="180" w:right="98" w:firstLine="0"/>
        <w:jc w:val="both"/>
        <w:rPr>
          <w:bCs w:val="0"/>
          <w:sz w:val="24"/>
        </w:rPr>
      </w:pPr>
    </w:p>
    <w:p w14:paraId="24C76478" w14:textId="66B0F9C4" w:rsidR="00670C79" w:rsidRPr="009B381E" w:rsidRDefault="00670C79" w:rsidP="00312FF3">
      <w:pPr>
        <w:pStyle w:val="BodyTextIndent2"/>
        <w:spacing w:before="0" w:after="0" w:line="276" w:lineRule="auto"/>
        <w:ind w:left="180" w:right="98" w:firstLine="0"/>
        <w:jc w:val="both"/>
        <w:rPr>
          <w:bCs w:val="0"/>
          <w:sz w:val="24"/>
        </w:rPr>
      </w:pPr>
      <w:r w:rsidRPr="009B381E">
        <w:rPr>
          <w:bCs w:val="0"/>
          <w:sz w:val="24"/>
        </w:rPr>
        <w:t>Secţiunea a 7-a  Activităţi de informare publică privind elaborarea şi implementarea proiectului de act normativ</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4"/>
        <w:gridCol w:w="6316"/>
      </w:tblGrid>
      <w:tr w:rsidR="00520BE3" w:rsidRPr="009B381E" w14:paraId="732E424B" w14:textId="77777777" w:rsidTr="008E5DAF">
        <w:tc>
          <w:tcPr>
            <w:tcW w:w="3924" w:type="dxa"/>
          </w:tcPr>
          <w:p w14:paraId="10660F36" w14:textId="77777777" w:rsidR="00670C79" w:rsidRPr="009B381E" w:rsidRDefault="00670C79" w:rsidP="00A70147">
            <w:pPr>
              <w:jc w:val="both"/>
            </w:pPr>
            <w:r w:rsidRPr="009B381E">
              <w:t>1.Informarea societăţii civile cu privire la necesitatea elaborării proiectului de act normativ</w:t>
            </w:r>
          </w:p>
        </w:tc>
        <w:tc>
          <w:tcPr>
            <w:tcW w:w="6316" w:type="dxa"/>
          </w:tcPr>
          <w:p w14:paraId="36624643" w14:textId="486D5C6C" w:rsidR="00670C79" w:rsidRPr="009B381E" w:rsidRDefault="006B075E" w:rsidP="00A70147">
            <w:pPr>
              <w:jc w:val="both"/>
            </w:pPr>
            <w:r w:rsidRPr="009B381E">
              <w:t>Prezentul proiect de act normativ respectă prevederile art. 7 alin. (13) din Legea nr. 52/2003 privind transparența decizională în administrația publică, republicată, și a fost publicat în dezbatere publică pe pagina de internet a Ministerului</w:t>
            </w:r>
            <w:r w:rsidR="00D501A1" w:rsidRPr="009B381E">
              <w:t xml:space="preserve"> </w:t>
            </w:r>
            <w:r w:rsidR="00B523ED" w:rsidRPr="009B381E">
              <w:t>Investițiilor și Proiectelor</w:t>
            </w:r>
            <w:r w:rsidR="00D501A1" w:rsidRPr="009B381E">
              <w:t xml:space="preserve"> Europene la data de </w:t>
            </w:r>
            <w:r w:rsidR="002D3187">
              <w:t>02.03.2022.</w:t>
            </w:r>
          </w:p>
        </w:tc>
      </w:tr>
      <w:tr w:rsidR="00520BE3" w:rsidRPr="009B381E" w14:paraId="585061CE" w14:textId="77777777" w:rsidTr="008E5DAF">
        <w:tc>
          <w:tcPr>
            <w:tcW w:w="3924" w:type="dxa"/>
          </w:tcPr>
          <w:p w14:paraId="50B21BCD" w14:textId="77777777" w:rsidR="00670C79" w:rsidRPr="009B381E" w:rsidRDefault="00670C79" w:rsidP="00A70147">
            <w:pPr>
              <w:jc w:val="both"/>
            </w:pPr>
            <w:r w:rsidRPr="009B381E">
              <w:t>2.Informarea societăţii civile cu privire la eventualul impact asupra mediului în urma implementării proiectului de act normativ, precum şi efectele asupra sănătăţii şi securităţii cetăţeanului sau diversităţii biologice</w:t>
            </w:r>
          </w:p>
        </w:tc>
        <w:tc>
          <w:tcPr>
            <w:tcW w:w="6316" w:type="dxa"/>
          </w:tcPr>
          <w:p w14:paraId="5BE15852" w14:textId="77777777" w:rsidR="00670C79" w:rsidRPr="009B381E" w:rsidRDefault="00670C79" w:rsidP="00A70147">
            <w:pPr>
              <w:jc w:val="both"/>
            </w:pPr>
          </w:p>
          <w:p w14:paraId="6F061B40" w14:textId="77777777" w:rsidR="00670C79" w:rsidRPr="009B381E" w:rsidRDefault="00670C79" w:rsidP="00A70147">
            <w:pPr>
              <w:jc w:val="both"/>
            </w:pPr>
            <w:r w:rsidRPr="009B381E">
              <w:t>Proiectul de act normativ nu se referă la acest subiect.</w:t>
            </w:r>
          </w:p>
        </w:tc>
      </w:tr>
      <w:tr w:rsidR="00520BE3" w:rsidRPr="009B381E" w14:paraId="6330D92F" w14:textId="77777777" w:rsidTr="008E5DAF">
        <w:tc>
          <w:tcPr>
            <w:tcW w:w="3924" w:type="dxa"/>
          </w:tcPr>
          <w:p w14:paraId="1EC509E8" w14:textId="77777777" w:rsidR="00670C79" w:rsidRPr="009B381E" w:rsidRDefault="00670C79" w:rsidP="00A70147">
            <w:r w:rsidRPr="009B381E">
              <w:t>3. Alte informaţii</w:t>
            </w:r>
          </w:p>
        </w:tc>
        <w:tc>
          <w:tcPr>
            <w:tcW w:w="6316" w:type="dxa"/>
            <w:vAlign w:val="center"/>
          </w:tcPr>
          <w:p w14:paraId="0819DC9B" w14:textId="00466D68" w:rsidR="00454D72" w:rsidRPr="009B381E" w:rsidRDefault="00670C79" w:rsidP="00A70147">
            <w:pPr>
              <w:jc w:val="both"/>
            </w:pPr>
            <w:r w:rsidRPr="009B381E">
              <w:t>Nu au fost identificate.</w:t>
            </w:r>
          </w:p>
        </w:tc>
      </w:tr>
    </w:tbl>
    <w:p w14:paraId="5D74F2C4" w14:textId="706D708A" w:rsidR="00AA6FD4" w:rsidRPr="009B381E" w:rsidRDefault="00AA6FD4" w:rsidP="00312FF3">
      <w:pPr>
        <w:spacing w:line="276" w:lineRule="auto"/>
        <w:ind w:left="180"/>
        <w:rPr>
          <w:b/>
        </w:rPr>
      </w:pPr>
    </w:p>
    <w:p w14:paraId="3FBCA191" w14:textId="71DF2BB6" w:rsidR="00670C79" w:rsidRPr="009B381E" w:rsidRDefault="00670C79" w:rsidP="00312FF3">
      <w:pPr>
        <w:spacing w:line="276" w:lineRule="auto"/>
        <w:ind w:left="180"/>
        <w:rPr>
          <w:b/>
        </w:rPr>
      </w:pPr>
      <w:r w:rsidRPr="009B381E">
        <w:rPr>
          <w:b/>
        </w:rPr>
        <w:t>Secţiunea a 8- a. Măsuri de implementare</w:t>
      </w: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1"/>
        <w:gridCol w:w="6329"/>
      </w:tblGrid>
      <w:tr w:rsidR="00520BE3" w:rsidRPr="009B381E" w14:paraId="5DF118D5" w14:textId="77777777" w:rsidTr="00E20EAD">
        <w:tc>
          <w:tcPr>
            <w:tcW w:w="3931" w:type="dxa"/>
          </w:tcPr>
          <w:p w14:paraId="428F02E7" w14:textId="397BA6B3" w:rsidR="00575BCE" w:rsidRPr="009B381E" w:rsidRDefault="00670C79" w:rsidP="00A70147">
            <w:pPr>
              <w:jc w:val="both"/>
            </w:pPr>
            <w:r w:rsidRPr="009B381E">
              <w:t>1. Măsuri de punere în aplicare a proiectului de act normativ de către autorităţile administrative publice centrale şi/sau locale-înfiinţarea sau extinderea competenţei instituţiilor existente</w:t>
            </w:r>
          </w:p>
        </w:tc>
        <w:tc>
          <w:tcPr>
            <w:tcW w:w="6329" w:type="dxa"/>
            <w:vAlign w:val="center"/>
          </w:tcPr>
          <w:p w14:paraId="036F3FD9" w14:textId="77777777" w:rsidR="00670C79" w:rsidRPr="009B381E" w:rsidRDefault="00670C79" w:rsidP="00A70147">
            <w:pPr>
              <w:pStyle w:val="Heading1"/>
              <w:spacing w:line="240" w:lineRule="auto"/>
              <w:jc w:val="both"/>
              <w:rPr>
                <w:sz w:val="24"/>
              </w:rPr>
            </w:pPr>
            <w:r w:rsidRPr="009B381E">
              <w:rPr>
                <w:sz w:val="24"/>
              </w:rPr>
              <w:t>Proiectul de act normativ nu se referă la acest subiect.</w:t>
            </w:r>
          </w:p>
        </w:tc>
      </w:tr>
      <w:tr w:rsidR="00520BE3" w:rsidRPr="009B381E" w14:paraId="527F2573" w14:textId="77777777" w:rsidTr="00E20EAD">
        <w:tc>
          <w:tcPr>
            <w:tcW w:w="3931" w:type="dxa"/>
          </w:tcPr>
          <w:p w14:paraId="05529BA5" w14:textId="77777777" w:rsidR="00670C79" w:rsidRPr="009B381E" w:rsidRDefault="00670C79" w:rsidP="00A70147">
            <w:pPr>
              <w:jc w:val="both"/>
            </w:pPr>
            <w:r w:rsidRPr="009B381E">
              <w:t>2. Alte informaţii</w:t>
            </w:r>
          </w:p>
        </w:tc>
        <w:tc>
          <w:tcPr>
            <w:tcW w:w="6329" w:type="dxa"/>
            <w:vAlign w:val="center"/>
          </w:tcPr>
          <w:p w14:paraId="4D29AA82" w14:textId="6FD4430D" w:rsidR="00575BCE" w:rsidRPr="009B381E" w:rsidRDefault="00670C79" w:rsidP="00A70147">
            <w:pPr>
              <w:jc w:val="both"/>
            </w:pPr>
            <w:r w:rsidRPr="009B381E">
              <w:t>Nu au fost identificate.</w:t>
            </w:r>
          </w:p>
        </w:tc>
      </w:tr>
    </w:tbl>
    <w:p w14:paraId="226E381F" w14:textId="796BD214" w:rsidR="00680184" w:rsidRPr="009B381E" w:rsidRDefault="00680184" w:rsidP="00A70147">
      <w:pPr>
        <w:widowControl w:val="0"/>
        <w:jc w:val="both"/>
      </w:pPr>
    </w:p>
    <w:p w14:paraId="6B9F6BC8" w14:textId="77777777" w:rsidR="00C5468F" w:rsidRPr="009B381E" w:rsidRDefault="00C5468F" w:rsidP="00312FF3">
      <w:pPr>
        <w:widowControl w:val="0"/>
        <w:spacing w:line="276" w:lineRule="auto"/>
        <w:jc w:val="both"/>
        <w:sectPr w:rsidR="00C5468F" w:rsidRPr="009B381E" w:rsidSect="008E1534">
          <w:footerReference w:type="even" r:id="rId8"/>
          <w:footerReference w:type="default" r:id="rId9"/>
          <w:pgSz w:w="12240" w:h="15840"/>
          <w:pgMar w:top="737" w:right="851" w:bottom="360" w:left="851" w:header="709" w:footer="709" w:gutter="0"/>
          <w:cols w:space="708"/>
          <w:docGrid w:linePitch="360"/>
        </w:sectPr>
      </w:pPr>
    </w:p>
    <w:p w14:paraId="04ED1DF1" w14:textId="382D24F7" w:rsidR="006B075E" w:rsidRDefault="007C3CB1" w:rsidP="007B18B0">
      <w:pPr>
        <w:autoSpaceDE w:val="0"/>
        <w:autoSpaceDN w:val="0"/>
        <w:adjustRightInd w:val="0"/>
        <w:spacing w:after="120"/>
        <w:jc w:val="both"/>
      </w:pPr>
      <w:r w:rsidRPr="009B381E">
        <w:lastRenderedPageBreak/>
        <w:t>Față</w:t>
      </w:r>
      <w:r w:rsidR="00670C79" w:rsidRPr="009B381E">
        <w:t xml:space="preserve"> de cele prezentate mai sus, a fost promovat prezentul proiect </w:t>
      </w:r>
      <w:r w:rsidR="007B18B0">
        <w:t xml:space="preserve">de </w:t>
      </w:r>
      <w:r w:rsidR="007B18B0" w:rsidRPr="007B18B0">
        <w:rPr>
          <w:b/>
          <w:i/>
        </w:rPr>
        <w:t xml:space="preserve">Hotărâre </w:t>
      </w:r>
      <w:r w:rsidR="00A2002E">
        <w:rPr>
          <w:b/>
          <w:i/>
        </w:rPr>
        <w:t>a</w:t>
      </w:r>
      <w:r w:rsidR="007B18B0" w:rsidRPr="007B18B0">
        <w:rPr>
          <w:b/>
          <w:i/>
        </w:rPr>
        <w:t xml:space="preserve"> Guvern</w:t>
      </w:r>
      <w:r w:rsidR="00A2002E">
        <w:rPr>
          <w:b/>
          <w:i/>
        </w:rPr>
        <w:t>ului</w:t>
      </w:r>
      <w:r w:rsidR="007B18B0" w:rsidRPr="007B18B0">
        <w:rPr>
          <w:b/>
          <w:i/>
        </w:rPr>
        <w:t xml:space="preserve"> </w:t>
      </w:r>
      <w:r w:rsidR="00670C79" w:rsidRPr="007B18B0">
        <w:rPr>
          <w:b/>
          <w:i/>
        </w:rPr>
        <w:t xml:space="preserve"> </w:t>
      </w:r>
      <w:r w:rsidR="007B18B0" w:rsidRPr="007B18B0">
        <w:rPr>
          <w:b/>
          <w:i/>
        </w:rPr>
        <w:t>privind regulile de eligibilitate a cheltuielilor efectuate în cadrul operațiunilor finanțate prin Fondul european de dezvoltare</w:t>
      </w:r>
      <w:r w:rsidR="007B18B0" w:rsidRPr="00885808">
        <w:t xml:space="preserve"> </w:t>
      </w:r>
      <w:r w:rsidR="007B18B0" w:rsidRPr="007E0E70">
        <w:rPr>
          <w:b/>
          <w:bCs/>
          <w:i/>
          <w:iCs/>
        </w:rPr>
        <w:t xml:space="preserve">regională, Fondul social european plus, Fondul de coeziune și </w:t>
      </w:r>
      <w:r w:rsidR="007B18B0" w:rsidRPr="007E0E70">
        <w:rPr>
          <w:b/>
          <w:bCs/>
          <w:i/>
          <w:iCs/>
          <w:lang w:eastAsia="en-GB"/>
        </w:rPr>
        <w:t xml:space="preserve">Fondul pentru </w:t>
      </w:r>
      <w:r w:rsidR="007E0E70" w:rsidRPr="007E0E70">
        <w:rPr>
          <w:b/>
          <w:bCs/>
          <w:i/>
          <w:iCs/>
          <w:lang w:eastAsia="en-GB"/>
        </w:rPr>
        <w:t xml:space="preserve">o </w:t>
      </w:r>
      <w:r w:rsidR="007B18B0" w:rsidRPr="007E0E70">
        <w:rPr>
          <w:b/>
          <w:bCs/>
          <w:i/>
          <w:iCs/>
          <w:lang w:eastAsia="en-GB"/>
        </w:rPr>
        <w:t>tranziție justă 2021-2027</w:t>
      </w:r>
      <w:r w:rsidR="000369EF" w:rsidRPr="009B381E">
        <w:rPr>
          <w:b/>
          <w:i/>
          <w:lang w:eastAsia="ro-RO"/>
        </w:rPr>
        <w:t xml:space="preserve">, </w:t>
      </w:r>
      <w:r w:rsidR="005E494D" w:rsidRPr="009B381E">
        <w:rPr>
          <w:b/>
        </w:rPr>
        <w:t xml:space="preserve"> </w:t>
      </w:r>
      <w:r w:rsidR="00E07299" w:rsidRPr="009B381E">
        <w:t>care</w:t>
      </w:r>
      <w:r w:rsidR="00670C79" w:rsidRPr="009B381E">
        <w:t xml:space="preserve"> în forma prezentată, a fost avizat de </w:t>
      </w:r>
      <w:r w:rsidR="008752C0" w:rsidRPr="009B381E">
        <w:t xml:space="preserve">Consiliul Legislativ, precum </w:t>
      </w:r>
      <w:r w:rsidR="007D7B77" w:rsidRPr="009B381E">
        <w:t>și</w:t>
      </w:r>
      <w:r w:rsidR="008752C0" w:rsidRPr="009B381E">
        <w:t xml:space="preserve"> de către </w:t>
      </w:r>
      <w:r w:rsidR="00670C79" w:rsidRPr="009B381E">
        <w:t xml:space="preserve">ministerele interesate </w:t>
      </w:r>
      <w:r w:rsidR="007D7B77" w:rsidRPr="009B381E">
        <w:t>și</w:t>
      </w:r>
      <w:r w:rsidR="00670C79" w:rsidRPr="009B381E">
        <w:t xml:space="preserve"> pe care îl supunem adoptării.</w:t>
      </w:r>
    </w:p>
    <w:p w14:paraId="175B3F0C" w14:textId="77777777" w:rsidR="0022495E" w:rsidRDefault="0022495E" w:rsidP="007B18B0">
      <w:pPr>
        <w:autoSpaceDE w:val="0"/>
        <w:autoSpaceDN w:val="0"/>
        <w:adjustRightInd w:val="0"/>
        <w:spacing w:after="120"/>
        <w:jc w:val="both"/>
      </w:pPr>
    </w:p>
    <w:p w14:paraId="01229D73" w14:textId="77777777" w:rsidR="008C471E" w:rsidRPr="009B381E" w:rsidRDefault="008C471E" w:rsidP="00312FF3">
      <w:pPr>
        <w:widowControl w:val="0"/>
        <w:spacing w:line="276" w:lineRule="auto"/>
        <w:jc w:val="both"/>
        <w:rPr>
          <w:b/>
          <w:lang w:eastAsia="ro-RO"/>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7"/>
        <w:gridCol w:w="5073"/>
      </w:tblGrid>
      <w:tr w:rsidR="006F10CD" w:rsidRPr="009B381E" w14:paraId="1805B624" w14:textId="77777777" w:rsidTr="00163026">
        <w:trPr>
          <w:trHeight w:val="1495"/>
        </w:trPr>
        <w:tc>
          <w:tcPr>
            <w:tcW w:w="10420" w:type="dxa"/>
            <w:gridSpan w:val="2"/>
          </w:tcPr>
          <w:p w14:paraId="64C57EFB" w14:textId="77777777" w:rsidR="00C11D3A" w:rsidRDefault="00C11D3A" w:rsidP="00F52E42">
            <w:pPr>
              <w:jc w:val="center"/>
              <w:rPr>
                <w:b/>
                <w:bCs/>
              </w:rPr>
            </w:pPr>
          </w:p>
          <w:p w14:paraId="7C415902" w14:textId="77777777" w:rsidR="006F10CD" w:rsidRPr="009B381E" w:rsidRDefault="006F10CD" w:rsidP="00F52E42">
            <w:pPr>
              <w:jc w:val="center"/>
              <w:rPr>
                <w:b/>
                <w:bCs/>
              </w:rPr>
            </w:pPr>
            <w:r w:rsidRPr="009B381E">
              <w:rPr>
                <w:b/>
                <w:bCs/>
              </w:rPr>
              <w:t>MINISTRUL INVESTIȚIILOR ȘI PROIECTELOR EUROPENE</w:t>
            </w:r>
          </w:p>
          <w:p w14:paraId="72008E72" w14:textId="77777777" w:rsidR="006F10CD" w:rsidRDefault="006F10CD" w:rsidP="00F52E42">
            <w:pPr>
              <w:jc w:val="center"/>
              <w:rPr>
                <w:b/>
                <w:bCs/>
              </w:rPr>
            </w:pPr>
          </w:p>
          <w:p w14:paraId="48A66AB9" w14:textId="77777777" w:rsidR="00163026" w:rsidRDefault="00163026" w:rsidP="00F52E42">
            <w:pPr>
              <w:jc w:val="center"/>
              <w:rPr>
                <w:b/>
                <w:bCs/>
              </w:rPr>
            </w:pPr>
          </w:p>
          <w:p w14:paraId="1D887BE5" w14:textId="4E26FC35" w:rsidR="006F10CD" w:rsidRPr="009B381E" w:rsidRDefault="006F10CD" w:rsidP="00F52E42">
            <w:pPr>
              <w:jc w:val="center"/>
              <w:rPr>
                <w:b/>
                <w:bCs/>
              </w:rPr>
            </w:pPr>
            <w:r>
              <w:rPr>
                <w:b/>
                <w:bCs/>
              </w:rPr>
              <w:t>Dan VÎLCEANU</w:t>
            </w:r>
            <w:r w:rsidRPr="009B381E">
              <w:rPr>
                <w:b/>
                <w:bCs/>
              </w:rPr>
              <w:t xml:space="preserve"> </w:t>
            </w:r>
          </w:p>
        </w:tc>
      </w:tr>
      <w:tr w:rsidR="007B18B0" w:rsidRPr="009B381E" w14:paraId="7C06143F" w14:textId="77777777" w:rsidTr="00163026">
        <w:trPr>
          <w:trHeight w:val="249"/>
        </w:trPr>
        <w:tc>
          <w:tcPr>
            <w:tcW w:w="10420" w:type="dxa"/>
            <w:gridSpan w:val="2"/>
          </w:tcPr>
          <w:p w14:paraId="07A54B6A" w14:textId="77777777" w:rsidR="00C11D3A" w:rsidRDefault="00C11D3A" w:rsidP="007B18B0">
            <w:pPr>
              <w:spacing w:after="120" w:line="276" w:lineRule="auto"/>
              <w:ind w:left="720" w:hanging="720"/>
              <w:jc w:val="center"/>
              <w:rPr>
                <w:b/>
                <w:bCs/>
              </w:rPr>
            </w:pPr>
          </w:p>
          <w:p w14:paraId="065BE223" w14:textId="5CFCC65D" w:rsidR="007B18B0" w:rsidRDefault="007B18B0" w:rsidP="007B18B0">
            <w:pPr>
              <w:spacing w:after="120" w:line="276" w:lineRule="auto"/>
              <w:ind w:left="720" w:hanging="720"/>
              <w:jc w:val="center"/>
              <w:rPr>
                <w:b/>
                <w:bCs/>
              </w:rPr>
            </w:pPr>
            <w:r w:rsidRPr="004F521A">
              <w:rPr>
                <w:b/>
                <w:bCs/>
              </w:rPr>
              <w:t>AVIZĂM:</w:t>
            </w:r>
          </w:p>
          <w:p w14:paraId="5016213D" w14:textId="77777777" w:rsidR="007B18B0" w:rsidRDefault="007B18B0" w:rsidP="00F52E42">
            <w:pPr>
              <w:jc w:val="center"/>
              <w:rPr>
                <w:b/>
                <w:bCs/>
              </w:rPr>
            </w:pPr>
          </w:p>
        </w:tc>
      </w:tr>
      <w:tr w:rsidR="002E54DC" w:rsidRPr="009B381E" w14:paraId="26999EE9" w14:textId="77777777" w:rsidTr="003C2695">
        <w:trPr>
          <w:trHeight w:val="1495"/>
        </w:trPr>
        <w:tc>
          <w:tcPr>
            <w:tcW w:w="10420" w:type="dxa"/>
            <w:gridSpan w:val="2"/>
          </w:tcPr>
          <w:p w14:paraId="5E62F392" w14:textId="77777777" w:rsidR="002E54DC" w:rsidRDefault="002E54DC" w:rsidP="00163026">
            <w:pPr>
              <w:ind w:left="720" w:hanging="720"/>
              <w:jc w:val="center"/>
              <w:rPr>
                <w:b/>
                <w:bCs/>
              </w:rPr>
            </w:pPr>
          </w:p>
          <w:p w14:paraId="5A88C94E" w14:textId="77777777" w:rsidR="002E54DC" w:rsidRDefault="002E54DC" w:rsidP="00163026">
            <w:pPr>
              <w:jc w:val="center"/>
              <w:rPr>
                <w:b/>
                <w:bCs/>
              </w:rPr>
            </w:pPr>
          </w:p>
          <w:p w14:paraId="46792A0B" w14:textId="77777777" w:rsidR="002E54DC" w:rsidRDefault="002E54DC" w:rsidP="00163026">
            <w:pPr>
              <w:jc w:val="center"/>
              <w:rPr>
                <w:b/>
                <w:bCs/>
              </w:rPr>
            </w:pPr>
            <w:r w:rsidRPr="006F2A8A">
              <w:rPr>
                <w:b/>
                <w:bCs/>
              </w:rPr>
              <w:t>VICEPRIM-MINISTRU</w:t>
            </w:r>
            <w:r>
              <w:rPr>
                <w:b/>
                <w:bCs/>
              </w:rPr>
              <w:t>, MINISTRUL TRANSPORTURILOR ȘI INFRASTRUCTURII</w:t>
            </w:r>
          </w:p>
          <w:p w14:paraId="314ECF06" w14:textId="77777777" w:rsidR="002E54DC" w:rsidRDefault="002E54DC" w:rsidP="00163026">
            <w:pPr>
              <w:jc w:val="center"/>
              <w:rPr>
                <w:b/>
                <w:bCs/>
              </w:rPr>
            </w:pPr>
          </w:p>
          <w:p w14:paraId="4C9F95B1" w14:textId="77777777" w:rsidR="002E54DC" w:rsidRDefault="002E54DC" w:rsidP="00163026">
            <w:pPr>
              <w:jc w:val="center"/>
              <w:rPr>
                <w:b/>
                <w:bCs/>
              </w:rPr>
            </w:pPr>
            <w:r w:rsidRPr="00AF5EEF">
              <w:rPr>
                <w:b/>
                <w:bCs/>
              </w:rPr>
              <w:t xml:space="preserve">Sorin </w:t>
            </w:r>
            <w:r>
              <w:rPr>
                <w:b/>
                <w:bCs/>
              </w:rPr>
              <w:t xml:space="preserve">Mihai </w:t>
            </w:r>
            <w:r w:rsidRPr="00AF5EEF">
              <w:rPr>
                <w:b/>
                <w:bCs/>
              </w:rPr>
              <w:t>GRINDEANU</w:t>
            </w:r>
          </w:p>
          <w:p w14:paraId="7897E8CC" w14:textId="77777777" w:rsidR="002E54DC" w:rsidRDefault="002E54DC" w:rsidP="00163026">
            <w:pPr>
              <w:jc w:val="center"/>
              <w:rPr>
                <w:b/>
                <w:bCs/>
              </w:rPr>
            </w:pPr>
          </w:p>
          <w:p w14:paraId="4BE2985F" w14:textId="77777777" w:rsidR="002E54DC" w:rsidRDefault="002E54DC" w:rsidP="00163026">
            <w:pPr>
              <w:jc w:val="center"/>
              <w:rPr>
                <w:b/>
                <w:bCs/>
              </w:rPr>
            </w:pPr>
          </w:p>
          <w:p w14:paraId="40C026B4" w14:textId="3768E9A7" w:rsidR="002E54DC" w:rsidRDefault="002E54DC" w:rsidP="00163026">
            <w:pPr>
              <w:jc w:val="center"/>
              <w:rPr>
                <w:b/>
                <w:bCs/>
              </w:rPr>
            </w:pPr>
          </w:p>
        </w:tc>
      </w:tr>
      <w:tr w:rsidR="007B18B0" w:rsidRPr="009B381E" w14:paraId="7F23B7AD" w14:textId="77777777" w:rsidTr="00163026">
        <w:trPr>
          <w:trHeight w:val="1495"/>
        </w:trPr>
        <w:tc>
          <w:tcPr>
            <w:tcW w:w="5347" w:type="dxa"/>
          </w:tcPr>
          <w:p w14:paraId="213E97C5" w14:textId="77777777" w:rsidR="00426EEB" w:rsidRDefault="00426EEB" w:rsidP="007B18B0">
            <w:pPr>
              <w:jc w:val="center"/>
              <w:rPr>
                <w:b/>
                <w:bCs/>
              </w:rPr>
            </w:pPr>
          </w:p>
          <w:p w14:paraId="7B2A4217" w14:textId="77777777" w:rsidR="007B18B0" w:rsidRDefault="007B18B0" w:rsidP="007B18B0">
            <w:pPr>
              <w:jc w:val="center"/>
              <w:rPr>
                <w:b/>
                <w:bCs/>
              </w:rPr>
            </w:pPr>
            <w:r w:rsidRPr="009B381E">
              <w:rPr>
                <w:b/>
                <w:bCs/>
              </w:rPr>
              <w:t>MINISTRUL FINANŢELOR</w:t>
            </w:r>
            <w:r>
              <w:rPr>
                <w:b/>
                <w:bCs/>
              </w:rPr>
              <w:t xml:space="preserve"> </w:t>
            </w:r>
          </w:p>
          <w:p w14:paraId="1F365ABA" w14:textId="77777777" w:rsidR="007B18B0" w:rsidRDefault="007B18B0" w:rsidP="007B18B0">
            <w:pPr>
              <w:jc w:val="center"/>
              <w:rPr>
                <w:b/>
                <w:bCs/>
              </w:rPr>
            </w:pPr>
          </w:p>
          <w:p w14:paraId="03435A7B" w14:textId="77777777" w:rsidR="007B18B0" w:rsidRDefault="007B18B0" w:rsidP="007B18B0">
            <w:pPr>
              <w:jc w:val="center"/>
              <w:rPr>
                <w:b/>
                <w:bCs/>
              </w:rPr>
            </w:pPr>
          </w:p>
          <w:p w14:paraId="24504D71" w14:textId="77777777" w:rsidR="00163026" w:rsidRDefault="00163026" w:rsidP="007B18B0">
            <w:pPr>
              <w:jc w:val="center"/>
              <w:rPr>
                <w:b/>
                <w:bCs/>
              </w:rPr>
            </w:pPr>
          </w:p>
          <w:p w14:paraId="26DB96CE" w14:textId="129975FE" w:rsidR="007B18B0" w:rsidRPr="006F2A8A" w:rsidRDefault="007B18B0" w:rsidP="007B18B0">
            <w:pPr>
              <w:jc w:val="center"/>
              <w:rPr>
                <w:b/>
                <w:bCs/>
              </w:rPr>
            </w:pPr>
            <w:r w:rsidRPr="00AF5EEF">
              <w:rPr>
                <w:b/>
                <w:bCs/>
              </w:rPr>
              <w:t>Adrian CÂCIU</w:t>
            </w:r>
          </w:p>
        </w:tc>
        <w:tc>
          <w:tcPr>
            <w:tcW w:w="5073" w:type="dxa"/>
          </w:tcPr>
          <w:p w14:paraId="79512CB1" w14:textId="77777777" w:rsidR="00426EEB" w:rsidRDefault="00426EEB" w:rsidP="007B18B0">
            <w:pPr>
              <w:jc w:val="center"/>
              <w:rPr>
                <w:b/>
                <w:bCs/>
              </w:rPr>
            </w:pPr>
          </w:p>
          <w:p w14:paraId="14E75A70" w14:textId="77777777" w:rsidR="007B18B0" w:rsidRDefault="007B18B0" w:rsidP="007B18B0">
            <w:pPr>
              <w:jc w:val="center"/>
              <w:rPr>
                <w:b/>
                <w:bCs/>
              </w:rPr>
            </w:pPr>
            <w:r>
              <w:rPr>
                <w:b/>
                <w:bCs/>
              </w:rPr>
              <w:t>MINISTRUL DEZVOLTĂRII, LUCRĂRILOR PUBLICE ȘI ADMINISTRAȚIEI</w:t>
            </w:r>
          </w:p>
          <w:p w14:paraId="0A8545FE" w14:textId="77777777" w:rsidR="007B18B0" w:rsidRDefault="007B18B0" w:rsidP="007B18B0">
            <w:pPr>
              <w:jc w:val="center"/>
              <w:rPr>
                <w:b/>
                <w:bCs/>
              </w:rPr>
            </w:pPr>
          </w:p>
          <w:p w14:paraId="3A2C711F" w14:textId="77777777" w:rsidR="007B18B0" w:rsidRDefault="007B18B0" w:rsidP="007B18B0">
            <w:pPr>
              <w:jc w:val="center"/>
              <w:rPr>
                <w:b/>
                <w:bCs/>
              </w:rPr>
            </w:pPr>
            <w:r>
              <w:rPr>
                <w:b/>
                <w:bCs/>
              </w:rPr>
              <w:t>CSEKE Attila-Zolt</w:t>
            </w:r>
            <w:r w:rsidRPr="004562CD">
              <w:rPr>
                <w:b/>
                <w:bCs/>
              </w:rPr>
              <w:t>á</w:t>
            </w:r>
            <w:r>
              <w:rPr>
                <w:b/>
                <w:bCs/>
              </w:rPr>
              <w:t>n</w:t>
            </w:r>
          </w:p>
          <w:p w14:paraId="4EFC46A2" w14:textId="77777777" w:rsidR="0022495E" w:rsidRDefault="0022495E" w:rsidP="007B18B0">
            <w:pPr>
              <w:jc w:val="center"/>
              <w:rPr>
                <w:b/>
                <w:bCs/>
              </w:rPr>
            </w:pPr>
          </w:p>
          <w:p w14:paraId="3F2E91B0" w14:textId="77777777" w:rsidR="0022495E" w:rsidRDefault="0022495E" w:rsidP="007B18B0">
            <w:pPr>
              <w:jc w:val="center"/>
              <w:rPr>
                <w:b/>
                <w:bCs/>
              </w:rPr>
            </w:pPr>
          </w:p>
          <w:p w14:paraId="513526F0" w14:textId="35DAE9CE" w:rsidR="00426EEB" w:rsidRDefault="00426EEB" w:rsidP="007B18B0">
            <w:pPr>
              <w:jc w:val="center"/>
              <w:rPr>
                <w:b/>
                <w:bCs/>
              </w:rPr>
            </w:pPr>
          </w:p>
        </w:tc>
      </w:tr>
      <w:tr w:rsidR="007B18B0" w:rsidRPr="009B381E" w14:paraId="375D5831" w14:textId="77777777" w:rsidTr="00163026">
        <w:trPr>
          <w:trHeight w:val="1553"/>
        </w:trPr>
        <w:tc>
          <w:tcPr>
            <w:tcW w:w="5347" w:type="dxa"/>
          </w:tcPr>
          <w:p w14:paraId="3A3B938B" w14:textId="77777777" w:rsidR="00163026" w:rsidRDefault="00163026" w:rsidP="00163026">
            <w:pPr>
              <w:ind w:left="720" w:hanging="720"/>
              <w:jc w:val="center"/>
              <w:rPr>
                <w:b/>
                <w:bCs/>
              </w:rPr>
            </w:pPr>
          </w:p>
          <w:p w14:paraId="7902FE9A" w14:textId="254DF1A2" w:rsidR="007B18B0" w:rsidRPr="000F7896" w:rsidRDefault="007B18B0" w:rsidP="00163026">
            <w:pPr>
              <w:ind w:left="720" w:hanging="720"/>
              <w:jc w:val="center"/>
              <w:rPr>
                <w:b/>
                <w:bCs/>
              </w:rPr>
            </w:pPr>
            <w:r w:rsidRPr="000F7896">
              <w:rPr>
                <w:b/>
                <w:bCs/>
              </w:rPr>
              <w:t>MINISTRUL AFACERILOR EXTERNE</w:t>
            </w:r>
          </w:p>
          <w:p w14:paraId="3CD76C3D" w14:textId="77777777" w:rsidR="00163026" w:rsidRDefault="00163026" w:rsidP="00163026">
            <w:pPr>
              <w:ind w:left="720" w:hanging="720"/>
              <w:jc w:val="center"/>
              <w:rPr>
                <w:b/>
                <w:bCs/>
              </w:rPr>
            </w:pPr>
          </w:p>
          <w:p w14:paraId="4DD53605" w14:textId="77777777" w:rsidR="00163026" w:rsidRDefault="00163026" w:rsidP="00163026">
            <w:pPr>
              <w:ind w:left="720" w:hanging="720"/>
              <w:jc w:val="center"/>
              <w:rPr>
                <w:b/>
                <w:bCs/>
              </w:rPr>
            </w:pPr>
          </w:p>
          <w:p w14:paraId="44EF243C" w14:textId="77777777" w:rsidR="00163026" w:rsidRDefault="00163026" w:rsidP="00163026">
            <w:pPr>
              <w:ind w:left="720" w:hanging="720"/>
              <w:jc w:val="center"/>
              <w:rPr>
                <w:b/>
                <w:bCs/>
              </w:rPr>
            </w:pPr>
          </w:p>
          <w:p w14:paraId="02EE63E4" w14:textId="07864419" w:rsidR="007B18B0" w:rsidRDefault="007B18B0" w:rsidP="00163026">
            <w:pPr>
              <w:ind w:left="720" w:hanging="720"/>
              <w:jc w:val="center"/>
              <w:rPr>
                <w:b/>
                <w:bCs/>
              </w:rPr>
            </w:pPr>
            <w:r w:rsidRPr="000F7896">
              <w:rPr>
                <w:b/>
                <w:bCs/>
              </w:rPr>
              <w:t xml:space="preserve">Bogdan </w:t>
            </w:r>
            <w:r>
              <w:rPr>
                <w:b/>
                <w:bCs/>
              </w:rPr>
              <w:t xml:space="preserve">Lucian </w:t>
            </w:r>
            <w:r w:rsidRPr="000F7896">
              <w:rPr>
                <w:b/>
                <w:bCs/>
              </w:rPr>
              <w:t xml:space="preserve">AURESCU </w:t>
            </w:r>
          </w:p>
        </w:tc>
        <w:tc>
          <w:tcPr>
            <w:tcW w:w="5073" w:type="dxa"/>
          </w:tcPr>
          <w:p w14:paraId="53FC3E01" w14:textId="77777777" w:rsidR="00163026" w:rsidRDefault="00163026" w:rsidP="00163026">
            <w:pPr>
              <w:shd w:val="clear" w:color="auto" w:fill="FFFFFF"/>
              <w:jc w:val="center"/>
              <w:rPr>
                <w:rFonts w:eastAsia="Arial Unicode MS"/>
                <w:b/>
              </w:rPr>
            </w:pPr>
          </w:p>
          <w:p w14:paraId="0E7AE4BE" w14:textId="1A97FE1C" w:rsidR="007B18B0" w:rsidRDefault="007B18B0" w:rsidP="00163026">
            <w:pPr>
              <w:shd w:val="clear" w:color="auto" w:fill="FFFFFF"/>
              <w:jc w:val="center"/>
              <w:rPr>
                <w:rFonts w:eastAsia="Arial Unicode MS"/>
                <w:b/>
              </w:rPr>
            </w:pPr>
            <w:r w:rsidRPr="009B381E">
              <w:rPr>
                <w:rFonts w:eastAsia="Arial Unicode MS"/>
                <w:b/>
              </w:rPr>
              <w:t>MINISTRUL JUSTIŢIEI</w:t>
            </w:r>
          </w:p>
          <w:p w14:paraId="1BA6085F" w14:textId="77777777" w:rsidR="007B18B0" w:rsidRDefault="007B18B0" w:rsidP="00163026">
            <w:pPr>
              <w:shd w:val="clear" w:color="auto" w:fill="FFFFFF"/>
              <w:jc w:val="center"/>
            </w:pPr>
          </w:p>
          <w:p w14:paraId="15FA8D94" w14:textId="77777777" w:rsidR="00163026" w:rsidRDefault="00163026" w:rsidP="00163026">
            <w:pPr>
              <w:shd w:val="clear" w:color="auto" w:fill="FFFFFF"/>
              <w:jc w:val="center"/>
              <w:rPr>
                <w:b/>
              </w:rPr>
            </w:pPr>
          </w:p>
          <w:p w14:paraId="11C8DBE8" w14:textId="77777777" w:rsidR="00163026" w:rsidRDefault="00163026" w:rsidP="00163026">
            <w:pPr>
              <w:shd w:val="clear" w:color="auto" w:fill="FFFFFF"/>
              <w:jc w:val="center"/>
              <w:rPr>
                <w:b/>
              </w:rPr>
            </w:pPr>
          </w:p>
          <w:p w14:paraId="4B9BE998" w14:textId="4816124C" w:rsidR="007B18B0" w:rsidRPr="00A85D7B" w:rsidRDefault="007B18B0" w:rsidP="00163026">
            <w:pPr>
              <w:shd w:val="clear" w:color="auto" w:fill="FFFFFF"/>
              <w:jc w:val="center"/>
              <w:rPr>
                <w:b/>
                <w:bCs/>
              </w:rPr>
            </w:pPr>
            <w:r>
              <w:rPr>
                <w:b/>
              </w:rPr>
              <w:t>Marian-</w:t>
            </w:r>
            <w:hyperlink r:id="rId10" w:history="1">
              <w:r>
                <w:rPr>
                  <w:b/>
                </w:rPr>
                <w:t>Cătălin</w:t>
              </w:r>
            </w:hyperlink>
            <w:r>
              <w:rPr>
                <w:b/>
              </w:rPr>
              <w:t xml:space="preserve"> PREDOIU</w:t>
            </w:r>
          </w:p>
        </w:tc>
      </w:tr>
    </w:tbl>
    <w:p w14:paraId="3A05DB29" w14:textId="77777777" w:rsidR="001C6BF4" w:rsidRDefault="001C6BF4" w:rsidP="00536DFE">
      <w:pPr>
        <w:spacing w:line="360" w:lineRule="auto"/>
        <w:jc w:val="center"/>
        <w:rPr>
          <w:rFonts w:eastAsia="Trebuchet MS"/>
          <w:b/>
          <w:sz w:val="20"/>
          <w:szCs w:val="20"/>
        </w:rPr>
      </w:pPr>
    </w:p>
    <w:sectPr w:rsidR="001C6BF4" w:rsidSect="001D02CF">
      <w:pgSz w:w="12240" w:h="15840"/>
      <w:pgMar w:top="737" w:right="851" w:bottom="28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5EA0E" w14:textId="77777777" w:rsidR="00107D81" w:rsidRDefault="00107D81">
      <w:r>
        <w:separator/>
      </w:r>
    </w:p>
  </w:endnote>
  <w:endnote w:type="continuationSeparator" w:id="0">
    <w:p w14:paraId="4E37EC82" w14:textId="77777777" w:rsidR="00107D81" w:rsidRDefault="00107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8418" w14:textId="77777777" w:rsidR="00EA23CB" w:rsidRDefault="00670C79"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EA23CB" w:rsidRDefault="00107D81" w:rsidP="001C58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2F9A" w14:textId="51721AF3" w:rsidR="00EA23CB" w:rsidRDefault="00107D81" w:rsidP="001C58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41A16" w14:textId="77777777" w:rsidR="00107D81" w:rsidRDefault="00107D81">
      <w:r>
        <w:separator/>
      </w:r>
    </w:p>
  </w:footnote>
  <w:footnote w:type="continuationSeparator" w:id="0">
    <w:p w14:paraId="0B4A8B87" w14:textId="77777777" w:rsidR="00107D81" w:rsidRDefault="00107D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4E0D0834"/>
    <w:multiLevelType w:val="hybridMultilevel"/>
    <w:tmpl w:val="B26A33A8"/>
    <w:lvl w:ilvl="0" w:tplc="B032DB6E">
      <w:numFmt w:val="bullet"/>
      <w:lvlText w:val="-"/>
      <w:lvlJc w:val="left"/>
      <w:pPr>
        <w:tabs>
          <w:tab w:val="num" w:pos="720"/>
        </w:tabs>
        <w:ind w:left="720" w:hanging="36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abstractNumId w:val="0"/>
  </w:num>
  <w:num w:numId="2">
    <w:abstractNumId w:val="11"/>
  </w:num>
  <w:num w:numId="3">
    <w:abstractNumId w:val="8"/>
  </w:num>
  <w:num w:numId="4">
    <w:abstractNumId w:val="1"/>
  </w:num>
  <w:num w:numId="5">
    <w:abstractNumId w:val="4"/>
  </w:num>
  <w:num w:numId="6">
    <w:abstractNumId w:val="10"/>
  </w:num>
  <w:num w:numId="7">
    <w:abstractNumId w:val="3"/>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7"/>
  </w:num>
  <w:num w:numId="11">
    <w:abstractNumId w:val="5"/>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EA6"/>
    <w:rsid w:val="000019B6"/>
    <w:rsid w:val="00002E4A"/>
    <w:rsid w:val="000042B4"/>
    <w:rsid w:val="00006F20"/>
    <w:rsid w:val="00010427"/>
    <w:rsid w:val="0001318A"/>
    <w:rsid w:val="00013621"/>
    <w:rsid w:val="0001442E"/>
    <w:rsid w:val="00014BA3"/>
    <w:rsid w:val="00015016"/>
    <w:rsid w:val="000155D5"/>
    <w:rsid w:val="00017D04"/>
    <w:rsid w:val="000209B5"/>
    <w:rsid w:val="00023524"/>
    <w:rsid w:val="000245E6"/>
    <w:rsid w:val="00024C00"/>
    <w:rsid w:val="00024F37"/>
    <w:rsid w:val="00025015"/>
    <w:rsid w:val="000250E7"/>
    <w:rsid w:val="000260DD"/>
    <w:rsid w:val="00026B13"/>
    <w:rsid w:val="00027469"/>
    <w:rsid w:val="0003205B"/>
    <w:rsid w:val="000369EF"/>
    <w:rsid w:val="00040B7B"/>
    <w:rsid w:val="00043471"/>
    <w:rsid w:val="00043911"/>
    <w:rsid w:val="00044209"/>
    <w:rsid w:val="0004452D"/>
    <w:rsid w:val="00046B44"/>
    <w:rsid w:val="00054869"/>
    <w:rsid w:val="00054DF8"/>
    <w:rsid w:val="000550E7"/>
    <w:rsid w:val="000563C0"/>
    <w:rsid w:val="00057629"/>
    <w:rsid w:val="00060E2F"/>
    <w:rsid w:val="0006186D"/>
    <w:rsid w:val="00061E6F"/>
    <w:rsid w:val="0006216F"/>
    <w:rsid w:val="0006409E"/>
    <w:rsid w:val="00064A6B"/>
    <w:rsid w:val="00065F4E"/>
    <w:rsid w:val="00070830"/>
    <w:rsid w:val="00073195"/>
    <w:rsid w:val="000733D3"/>
    <w:rsid w:val="0007609F"/>
    <w:rsid w:val="00076C55"/>
    <w:rsid w:val="00080C23"/>
    <w:rsid w:val="00081475"/>
    <w:rsid w:val="00083DB6"/>
    <w:rsid w:val="00083EAF"/>
    <w:rsid w:val="00085613"/>
    <w:rsid w:val="00085904"/>
    <w:rsid w:val="00086114"/>
    <w:rsid w:val="00087383"/>
    <w:rsid w:val="00090676"/>
    <w:rsid w:val="0009222E"/>
    <w:rsid w:val="0009320D"/>
    <w:rsid w:val="00094481"/>
    <w:rsid w:val="000949D2"/>
    <w:rsid w:val="00095300"/>
    <w:rsid w:val="0009621B"/>
    <w:rsid w:val="000A06E8"/>
    <w:rsid w:val="000A3FDC"/>
    <w:rsid w:val="000A437E"/>
    <w:rsid w:val="000A6298"/>
    <w:rsid w:val="000A6A5B"/>
    <w:rsid w:val="000A71F1"/>
    <w:rsid w:val="000B391A"/>
    <w:rsid w:val="000B3AF2"/>
    <w:rsid w:val="000B4945"/>
    <w:rsid w:val="000B55D8"/>
    <w:rsid w:val="000B650E"/>
    <w:rsid w:val="000B665D"/>
    <w:rsid w:val="000B7506"/>
    <w:rsid w:val="000C0EE8"/>
    <w:rsid w:val="000C3277"/>
    <w:rsid w:val="000C4A4F"/>
    <w:rsid w:val="000C54A4"/>
    <w:rsid w:val="000C614B"/>
    <w:rsid w:val="000C7D63"/>
    <w:rsid w:val="000C7EAF"/>
    <w:rsid w:val="000C7EEC"/>
    <w:rsid w:val="000D0285"/>
    <w:rsid w:val="000D0889"/>
    <w:rsid w:val="000D315E"/>
    <w:rsid w:val="000D3960"/>
    <w:rsid w:val="000D4132"/>
    <w:rsid w:val="000D4C09"/>
    <w:rsid w:val="000D6EEC"/>
    <w:rsid w:val="000E0EA4"/>
    <w:rsid w:val="000E2C2D"/>
    <w:rsid w:val="000E3A58"/>
    <w:rsid w:val="000E6CE4"/>
    <w:rsid w:val="000E6E89"/>
    <w:rsid w:val="000E74F5"/>
    <w:rsid w:val="000F26C2"/>
    <w:rsid w:val="000F40EF"/>
    <w:rsid w:val="000F6105"/>
    <w:rsid w:val="0010021F"/>
    <w:rsid w:val="00100251"/>
    <w:rsid w:val="00101A9B"/>
    <w:rsid w:val="001023B0"/>
    <w:rsid w:val="0010482B"/>
    <w:rsid w:val="00105808"/>
    <w:rsid w:val="001067AA"/>
    <w:rsid w:val="00107736"/>
    <w:rsid w:val="00107740"/>
    <w:rsid w:val="00107D81"/>
    <w:rsid w:val="00107E28"/>
    <w:rsid w:val="001122B8"/>
    <w:rsid w:val="00112E9E"/>
    <w:rsid w:val="001147BA"/>
    <w:rsid w:val="0011501B"/>
    <w:rsid w:val="00115083"/>
    <w:rsid w:val="00115131"/>
    <w:rsid w:val="0012182A"/>
    <w:rsid w:val="00121CCC"/>
    <w:rsid w:val="0012361A"/>
    <w:rsid w:val="00123FE4"/>
    <w:rsid w:val="00125245"/>
    <w:rsid w:val="00126BBF"/>
    <w:rsid w:val="00130ADF"/>
    <w:rsid w:val="00131281"/>
    <w:rsid w:val="001313D8"/>
    <w:rsid w:val="00132265"/>
    <w:rsid w:val="0013230E"/>
    <w:rsid w:val="00133A3B"/>
    <w:rsid w:val="0013619D"/>
    <w:rsid w:val="0013676D"/>
    <w:rsid w:val="0014465F"/>
    <w:rsid w:val="001457D0"/>
    <w:rsid w:val="001459BC"/>
    <w:rsid w:val="00152085"/>
    <w:rsid w:val="001528E8"/>
    <w:rsid w:val="00152A6E"/>
    <w:rsid w:val="00153B2A"/>
    <w:rsid w:val="0015446A"/>
    <w:rsid w:val="001544DC"/>
    <w:rsid w:val="00154ED4"/>
    <w:rsid w:val="0015762E"/>
    <w:rsid w:val="00161A61"/>
    <w:rsid w:val="00163026"/>
    <w:rsid w:val="00164FF3"/>
    <w:rsid w:val="00165A07"/>
    <w:rsid w:val="00165D35"/>
    <w:rsid w:val="0016785A"/>
    <w:rsid w:val="00167CC7"/>
    <w:rsid w:val="00167EF9"/>
    <w:rsid w:val="0017030A"/>
    <w:rsid w:val="001706AE"/>
    <w:rsid w:val="00172493"/>
    <w:rsid w:val="00173986"/>
    <w:rsid w:val="00173BC8"/>
    <w:rsid w:val="0017452F"/>
    <w:rsid w:val="0017630C"/>
    <w:rsid w:val="00176E4D"/>
    <w:rsid w:val="001776C1"/>
    <w:rsid w:val="00177CD3"/>
    <w:rsid w:val="00177EC3"/>
    <w:rsid w:val="00181323"/>
    <w:rsid w:val="0019189C"/>
    <w:rsid w:val="001919CC"/>
    <w:rsid w:val="0019387C"/>
    <w:rsid w:val="001945C9"/>
    <w:rsid w:val="001965FB"/>
    <w:rsid w:val="001A0AEA"/>
    <w:rsid w:val="001A1AA3"/>
    <w:rsid w:val="001A1AE5"/>
    <w:rsid w:val="001A1D31"/>
    <w:rsid w:val="001A2A6E"/>
    <w:rsid w:val="001A374F"/>
    <w:rsid w:val="001A4420"/>
    <w:rsid w:val="001A5610"/>
    <w:rsid w:val="001A730B"/>
    <w:rsid w:val="001A78A0"/>
    <w:rsid w:val="001A7C31"/>
    <w:rsid w:val="001B1912"/>
    <w:rsid w:val="001B23D0"/>
    <w:rsid w:val="001B2B36"/>
    <w:rsid w:val="001B3B27"/>
    <w:rsid w:val="001B4A74"/>
    <w:rsid w:val="001B6DD8"/>
    <w:rsid w:val="001B7961"/>
    <w:rsid w:val="001C2EA5"/>
    <w:rsid w:val="001C33B5"/>
    <w:rsid w:val="001C4735"/>
    <w:rsid w:val="001C5D14"/>
    <w:rsid w:val="001C6BF4"/>
    <w:rsid w:val="001C7510"/>
    <w:rsid w:val="001C7F48"/>
    <w:rsid w:val="001D02CF"/>
    <w:rsid w:val="001D0467"/>
    <w:rsid w:val="001D68DA"/>
    <w:rsid w:val="001D7448"/>
    <w:rsid w:val="001E058E"/>
    <w:rsid w:val="001E0BD4"/>
    <w:rsid w:val="001E0D0D"/>
    <w:rsid w:val="001E11B1"/>
    <w:rsid w:val="001E2092"/>
    <w:rsid w:val="001E55B3"/>
    <w:rsid w:val="001E69E4"/>
    <w:rsid w:val="001E6A4B"/>
    <w:rsid w:val="001E708B"/>
    <w:rsid w:val="001E7255"/>
    <w:rsid w:val="001F1219"/>
    <w:rsid w:val="001F14A2"/>
    <w:rsid w:val="001F42C9"/>
    <w:rsid w:val="001F5FC8"/>
    <w:rsid w:val="001F700D"/>
    <w:rsid w:val="001F7034"/>
    <w:rsid w:val="001F733F"/>
    <w:rsid w:val="00200720"/>
    <w:rsid w:val="0021067B"/>
    <w:rsid w:val="002116FE"/>
    <w:rsid w:val="00213877"/>
    <w:rsid w:val="00213BDB"/>
    <w:rsid w:val="002153E2"/>
    <w:rsid w:val="00221987"/>
    <w:rsid w:val="00223AFB"/>
    <w:rsid w:val="0022495E"/>
    <w:rsid w:val="00225653"/>
    <w:rsid w:val="00227A62"/>
    <w:rsid w:val="00230EAE"/>
    <w:rsid w:val="00231F26"/>
    <w:rsid w:val="00232ED4"/>
    <w:rsid w:val="002337CA"/>
    <w:rsid w:val="00233D49"/>
    <w:rsid w:val="0023404B"/>
    <w:rsid w:val="00234AB0"/>
    <w:rsid w:val="002354D3"/>
    <w:rsid w:val="00237C4D"/>
    <w:rsid w:val="002404DC"/>
    <w:rsid w:val="002404F7"/>
    <w:rsid w:val="00244CF8"/>
    <w:rsid w:val="00246791"/>
    <w:rsid w:val="00251605"/>
    <w:rsid w:val="0025682E"/>
    <w:rsid w:val="00262462"/>
    <w:rsid w:val="0026264B"/>
    <w:rsid w:val="00262CFA"/>
    <w:rsid w:val="00267571"/>
    <w:rsid w:val="002715D1"/>
    <w:rsid w:val="00271D4C"/>
    <w:rsid w:val="0027308F"/>
    <w:rsid w:val="00275947"/>
    <w:rsid w:val="00275D3D"/>
    <w:rsid w:val="00276B03"/>
    <w:rsid w:val="0027750A"/>
    <w:rsid w:val="00280BAF"/>
    <w:rsid w:val="00283DDB"/>
    <w:rsid w:val="002859AE"/>
    <w:rsid w:val="00286173"/>
    <w:rsid w:val="002869DC"/>
    <w:rsid w:val="00286DEC"/>
    <w:rsid w:val="0029394F"/>
    <w:rsid w:val="00294152"/>
    <w:rsid w:val="0029430E"/>
    <w:rsid w:val="00294D46"/>
    <w:rsid w:val="002A409A"/>
    <w:rsid w:val="002A7775"/>
    <w:rsid w:val="002A7B24"/>
    <w:rsid w:val="002B2155"/>
    <w:rsid w:val="002B4DBE"/>
    <w:rsid w:val="002B583C"/>
    <w:rsid w:val="002B689E"/>
    <w:rsid w:val="002B7888"/>
    <w:rsid w:val="002C1BFC"/>
    <w:rsid w:val="002C1C7F"/>
    <w:rsid w:val="002C2246"/>
    <w:rsid w:val="002C3361"/>
    <w:rsid w:val="002C37C4"/>
    <w:rsid w:val="002C4610"/>
    <w:rsid w:val="002C47D3"/>
    <w:rsid w:val="002C5396"/>
    <w:rsid w:val="002C62AA"/>
    <w:rsid w:val="002C63A8"/>
    <w:rsid w:val="002C6EEE"/>
    <w:rsid w:val="002D2048"/>
    <w:rsid w:val="002D214D"/>
    <w:rsid w:val="002D3187"/>
    <w:rsid w:val="002D519D"/>
    <w:rsid w:val="002D63DE"/>
    <w:rsid w:val="002E13E4"/>
    <w:rsid w:val="002E22BC"/>
    <w:rsid w:val="002E3AFC"/>
    <w:rsid w:val="002E3BEE"/>
    <w:rsid w:val="002E5329"/>
    <w:rsid w:val="002E54DC"/>
    <w:rsid w:val="002E5723"/>
    <w:rsid w:val="002E6018"/>
    <w:rsid w:val="002E6BA8"/>
    <w:rsid w:val="002E7E37"/>
    <w:rsid w:val="002F01BF"/>
    <w:rsid w:val="002F0CE9"/>
    <w:rsid w:val="002F1A5E"/>
    <w:rsid w:val="002F1FD7"/>
    <w:rsid w:val="002F2645"/>
    <w:rsid w:val="002F36E2"/>
    <w:rsid w:val="002F5569"/>
    <w:rsid w:val="002F60F3"/>
    <w:rsid w:val="00302ADB"/>
    <w:rsid w:val="00302D6F"/>
    <w:rsid w:val="00304361"/>
    <w:rsid w:val="00304837"/>
    <w:rsid w:val="00305061"/>
    <w:rsid w:val="0030581C"/>
    <w:rsid w:val="00305E5F"/>
    <w:rsid w:val="00306119"/>
    <w:rsid w:val="00306B32"/>
    <w:rsid w:val="00307D55"/>
    <w:rsid w:val="00310F95"/>
    <w:rsid w:val="00312439"/>
    <w:rsid w:val="00312FF3"/>
    <w:rsid w:val="003138A1"/>
    <w:rsid w:val="00314970"/>
    <w:rsid w:val="003153CB"/>
    <w:rsid w:val="00315CB8"/>
    <w:rsid w:val="003179ED"/>
    <w:rsid w:val="00322480"/>
    <w:rsid w:val="00322A19"/>
    <w:rsid w:val="00324785"/>
    <w:rsid w:val="00324938"/>
    <w:rsid w:val="00324E37"/>
    <w:rsid w:val="00325BC3"/>
    <w:rsid w:val="00332715"/>
    <w:rsid w:val="00332F9B"/>
    <w:rsid w:val="00332FEB"/>
    <w:rsid w:val="00333AB9"/>
    <w:rsid w:val="00335C69"/>
    <w:rsid w:val="00344A59"/>
    <w:rsid w:val="003456BD"/>
    <w:rsid w:val="00345C6D"/>
    <w:rsid w:val="0034765C"/>
    <w:rsid w:val="003543EA"/>
    <w:rsid w:val="003545B2"/>
    <w:rsid w:val="0035521E"/>
    <w:rsid w:val="00355320"/>
    <w:rsid w:val="00355C12"/>
    <w:rsid w:val="003569BD"/>
    <w:rsid w:val="00357FC9"/>
    <w:rsid w:val="003605E7"/>
    <w:rsid w:val="0036135D"/>
    <w:rsid w:val="00365A86"/>
    <w:rsid w:val="003668CF"/>
    <w:rsid w:val="00372076"/>
    <w:rsid w:val="0037559F"/>
    <w:rsid w:val="00375B28"/>
    <w:rsid w:val="0037675E"/>
    <w:rsid w:val="00377E94"/>
    <w:rsid w:val="00381090"/>
    <w:rsid w:val="00382D10"/>
    <w:rsid w:val="00385BC3"/>
    <w:rsid w:val="003864F6"/>
    <w:rsid w:val="00386AC1"/>
    <w:rsid w:val="00390E31"/>
    <w:rsid w:val="00391737"/>
    <w:rsid w:val="0039344D"/>
    <w:rsid w:val="00393638"/>
    <w:rsid w:val="00396A04"/>
    <w:rsid w:val="00397570"/>
    <w:rsid w:val="003A518D"/>
    <w:rsid w:val="003A6698"/>
    <w:rsid w:val="003A7570"/>
    <w:rsid w:val="003B02B3"/>
    <w:rsid w:val="003B3A2C"/>
    <w:rsid w:val="003B3F0B"/>
    <w:rsid w:val="003B424D"/>
    <w:rsid w:val="003B68CD"/>
    <w:rsid w:val="003B6DAF"/>
    <w:rsid w:val="003C1670"/>
    <w:rsid w:val="003C19BF"/>
    <w:rsid w:val="003C4001"/>
    <w:rsid w:val="003C4D24"/>
    <w:rsid w:val="003C565F"/>
    <w:rsid w:val="003C6B82"/>
    <w:rsid w:val="003C6D3A"/>
    <w:rsid w:val="003D092D"/>
    <w:rsid w:val="003D4A34"/>
    <w:rsid w:val="003D4B73"/>
    <w:rsid w:val="003D6235"/>
    <w:rsid w:val="003E06DF"/>
    <w:rsid w:val="003E080A"/>
    <w:rsid w:val="003E5FF2"/>
    <w:rsid w:val="003E65CF"/>
    <w:rsid w:val="003E6CC8"/>
    <w:rsid w:val="003F046A"/>
    <w:rsid w:val="003F10F8"/>
    <w:rsid w:val="003F12E1"/>
    <w:rsid w:val="003F4EA4"/>
    <w:rsid w:val="003F5CF6"/>
    <w:rsid w:val="003F6ACA"/>
    <w:rsid w:val="003F7AF4"/>
    <w:rsid w:val="0040003B"/>
    <w:rsid w:val="004007BE"/>
    <w:rsid w:val="00402A15"/>
    <w:rsid w:val="00405F21"/>
    <w:rsid w:val="00406B07"/>
    <w:rsid w:val="0041039C"/>
    <w:rsid w:val="00410A6C"/>
    <w:rsid w:val="0041435C"/>
    <w:rsid w:val="004162F1"/>
    <w:rsid w:val="00417D52"/>
    <w:rsid w:val="0042197D"/>
    <w:rsid w:val="004248D9"/>
    <w:rsid w:val="00425D30"/>
    <w:rsid w:val="00426482"/>
    <w:rsid w:val="004268A6"/>
    <w:rsid w:val="00426EEB"/>
    <w:rsid w:val="00427A8E"/>
    <w:rsid w:val="00430E0D"/>
    <w:rsid w:val="00434D7D"/>
    <w:rsid w:val="004362A6"/>
    <w:rsid w:val="00440136"/>
    <w:rsid w:val="004449A8"/>
    <w:rsid w:val="00445A50"/>
    <w:rsid w:val="00446C51"/>
    <w:rsid w:val="0045384E"/>
    <w:rsid w:val="00454D72"/>
    <w:rsid w:val="00455719"/>
    <w:rsid w:val="004561E9"/>
    <w:rsid w:val="004564D5"/>
    <w:rsid w:val="0045656F"/>
    <w:rsid w:val="00460757"/>
    <w:rsid w:val="00461BC5"/>
    <w:rsid w:val="00461DC3"/>
    <w:rsid w:val="00462C37"/>
    <w:rsid w:val="00463434"/>
    <w:rsid w:val="00463E98"/>
    <w:rsid w:val="00464AED"/>
    <w:rsid w:val="0046568A"/>
    <w:rsid w:val="00466A3E"/>
    <w:rsid w:val="0047062F"/>
    <w:rsid w:val="00470D87"/>
    <w:rsid w:val="0047110C"/>
    <w:rsid w:val="004717E9"/>
    <w:rsid w:val="00473382"/>
    <w:rsid w:val="00473DA2"/>
    <w:rsid w:val="00475C30"/>
    <w:rsid w:val="004766C1"/>
    <w:rsid w:val="0047738F"/>
    <w:rsid w:val="00477DA1"/>
    <w:rsid w:val="004806BE"/>
    <w:rsid w:val="00481A82"/>
    <w:rsid w:val="004844D1"/>
    <w:rsid w:val="00486768"/>
    <w:rsid w:val="00491715"/>
    <w:rsid w:val="00492D8F"/>
    <w:rsid w:val="00493464"/>
    <w:rsid w:val="0049586B"/>
    <w:rsid w:val="00495918"/>
    <w:rsid w:val="00495B40"/>
    <w:rsid w:val="004A0DC4"/>
    <w:rsid w:val="004A2289"/>
    <w:rsid w:val="004A26E1"/>
    <w:rsid w:val="004A39EE"/>
    <w:rsid w:val="004A51ED"/>
    <w:rsid w:val="004A6FCC"/>
    <w:rsid w:val="004B13DF"/>
    <w:rsid w:val="004B1759"/>
    <w:rsid w:val="004B1ABD"/>
    <w:rsid w:val="004B23FC"/>
    <w:rsid w:val="004B254E"/>
    <w:rsid w:val="004B5255"/>
    <w:rsid w:val="004B64A6"/>
    <w:rsid w:val="004B7CAD"/>
    <w:rsid w:val="004C0503"/>
    <w:rsid w:val="004C07F9"/>
    <w:rsid w:val="004C103A"/>
    <w:rsid w:val="004C1092"/>
    <w:rsid w:val="004C2784"/>
    <w:rsid w:val="004D210B"/>
    <w:rsid w:val="004D279E"/>
    <w:rsid w:val="004D27EE"/>
    <w:rsid w:val="004D5BA3"/>
    <w:rsid w:val="004D6ABC"/>
    <w:rsid w:val="004E13AF"/>
    <w:rsid w:val="004E15BF"/>
    <w:rsid w:val="004E3C14"/>
    <w:rsid w:val="004E40FD"/>
    <w:rsid w:val="004E5F03"/>
    <w:rsid w:val="004E74DD"/>
    <w:rsid w:val="004E789F"/>
    <w:rsid w:val="004F0E4B"/>
    <w:rsid w:val="004F1FFD"/>
    <w:rsid w:val="004F498D"/>
    <w:rsid w:val="004F521A"/>
    <w:rsid w:val="004F551E"/>
    <w:rsid w:val="004F578B"/>
    <w:rsid w:val="0050109F"/>
    <w:rsid w:val="005022EC"/>
    <w:rsid w:val="00503EB0"/>
    <w:rsid w:val="005059DD"/>
    <w:rsid w:val="00505AF3"/>
    <w:rsid w:val="00515920"/>
    <w:rsid w:val="00515AD8"/>
    <w:rsid w:val="00517490"/>
    <w:rsid w:val="00520345"/>
    <w:rsid w:val="00520BE3"/>
    <w:rsid w:val="00522A8B"/>
    <w:rsid w:val="0052442F"/>
    <w:rsid w:val="00524BB2"/>
    <w:rsid w:val="00527866"/>
    <w:rsid w:val="00530AC8"/>
    <w:rsid w:val="0053145E"/>
    <w:rsid w:val="0053190B"/>
    <w:rsid w:val="00533117"/>
    <w:rsid w:val="005338D3"/>
    <w:rsid w:val="00533DD2"/>
    <w:rsid w:val="00533E19"/>
    <w:rsid w:val="0053559E"/>
    <w:rsid w:val="00536DFE"/>
    <w:rsid w:val="00540381"/>
    <w:rsid w:val="00542411"/>
    <w:rsid w:val="005427D3"/>
    <w:rsid w:val="00543A0A"/>
    <w:rsid w:val="005444AB"/>
    <w:rsid w:val="00546B5F"/>
    <w:rsid w:val="00547334"/>
    <w:rsid w:val="005514F5"/>
    <w:rsid w:val="00554716"/>
    <w:rsid w:val="00555D3D"/>
    <w:rsid w:val="00561803"/>
    <w:rsid w:val="00562652"/>
    <w:rsid w:val="0056358F"/>
    <w:rsid w:val="005649C0"/>
    <w:rsid w:val="00564A0B"/>
    <w:rsid w:val="00565752"/>
    <w:rsid w:val="00566969"/>
    <w:rsid w:val="00566EBF"/>
    <w:rsid w:val="00570784"/>
    <w:rsid w:val="00570A4A"/>
    <w:rsid w:val="00570E3E"/>
    <w:rsid w:val="00571569"/>
    <w:rsid w:val="00575BCE"/>
    <w:rsid w:val="0057730A"/>
    <w:rsid w:val="00577623"/>
    <w:rsid w:val="00584568"/>
    <w:rsid w:val="0058460D"/>
    <w:rsid w:val="00584BC8"/>
    <w:rsid w:val="00586890"/>
    <w:rsid w:val="00595C2D"/>
    <w:rsid w:val="0059789A"/>
    <w:rsid w:val="00597910"/>
    <w:rsid w:val="005A133E"/>
    <w:rsid w:val="005A1D6C"/>
    <w:rsid w:val="005A2F37"/>
    <w:rsid w:val="005A2FF2"/>
    <w:rsid w:val="005A47ED"/>
    <w:rsid w:val="005A5A3E"/>
    <w:rsid w:val="005A5D29"/>
    <w:rsid w:val="005B000B"/>
    <w:rsid w:val="005B0238"/>
    <w:rsid w:val="005B02AB"/>
    <w:rsid w:val="005B17BE"/>
    <w:rsid w:val="005B31F7"/>
    <w:rsid w:val="005B3992"/>
    <w:rsid w:val="005B58FF"/>
    <w:rsid w:val="005B68C3"/>
    <w:rsid w:val="005B716F"/>
    <w:rsid w:val="005C204E"/>
    <w:rsid w:val="005C2F53"/>
    <w:rsid w:val="005C35DE"/>
    <w:rsid w:val="005C5DD4"/>
    <w:rsid w:val="005D05C7"/>
    <w:rsid w:val="005D09D7"/>
    <w:rsid w:val="005D33F6"/>
    <w:rsid w:val="005D4320"/>
    <w:rsid w:val="005D4F6E"/>
    <w:rsid w:val="005D66B3"/>
    <w:rsid w:val="005D6B6E"/>
    <w:rsid w:val="005E24DC"/>
    <w:rsid w:val="005E28B9"/>
    <w:rsid w:val="005E318B"/>
    <w:rsid w:val="005E34BD"/>
    <w:rsid w:val="005E494D"/>
    <w:rsid w:val="005E662E"/>
    <w:rsid w:val="005E6BD7"/>
    <w:rsid w:val="005E71B7"/>
    <w:rsid w:val="005F0EF5"/>
    <w:rsid w:val="005F27A0"/>
    <w:rsid w:val="005F2815"/>
    <w:rsid w:val="005F3CF4"/>
    <w:rsid w:val="005F77C9"/>
    <w:rsid w:val="00601913"/>
    <w:rsid w:val="006025A2"/>
    <w:rsid w:val="00602FDB"/>
    <w:rsid w:val="0060421A"/>
    <w:rsid w:val="00604747"/>
    <w:rsid w:val="0060658F"/>
    <w:rsid w:val="00607C2B"/>
    <w:rsid w:val="00611644"/>
    <w:rsid w:val="006131B4"/>
    <w:rsid w:val="00615FE9"/>
    <w:rsid w:val="006174FC"/>
    <w:rsid w:val="0062007D"/>
    <w:rsid w:val="00624E3D"/>
    <w:rsid w:val="006259CC"/>
    <w:rsid w:val="006308CD"/>
    <w:rsid w:val="00630E67"/>
    <w:rsid w:val="006328DC"/>
    <w:rsid w:val="00634816"/>
    <w:rsid w:val="00634CC1"/>
    <w:rsid w:val="00635197"/>
    <w:rsid w:val="006363AA"/>
    <w:rsid w:val="0063758C"/>
    <w:rsid w:val="00637985"/>
    <w:rsid w:val="006411F6"/>
    <w:rsid w:val="00642D88"/>
    <w:rsid w:val="00643DFD"/>
    <w:rsid w:val="0064474A"/>
    <w:rsid w:val="00644805"/>
    <w:rsid w:val="006449AD"/>
    <w:rsid w:val="00644DAA"/>
    <w:rsid w:val="00645209"/>
    <w:rsid w:val="00645824"/>
    <w:rsid w:val="00646267"/>
    <w:rsid w:val="006467F1"/>
    <w:rsid w:val="00647401"/>
    <w:rsid w:val="00650169"/>
    <w:rsid w:val="0065246A"/>
    <w:rsid w:val="00652918"/>
    <w:rsid w:val="00652E1B"/>
    <w:rsid w:val="00652E45"/>
    <w:rsid w:val="00653F32"/>
    <w:rsid w:val="00656BD4"/>
    <w:rsid w:val="00657250"/>
    <w:rsid w:val="006600DC"/>
    <w:rsid w:val="00660605"/>
    <w:rsid w:val="006622B7"/>
    <w:rsid w:val="00662E0D"/>
    <w:rsid w:val="0066383C"/>
    <w:rsid w:val="0066428B"/>
    <w:rsid w:val="00665BFE"/>
    <w:rsid w:val="00667DF3"/>
    <w:rsid w:val="00670C79"/>
    <w:rsid w:val="00670DA7"/>
    <w:rsid w:val="00671536"/>
    <w:rsid w:val="0067280E"/>
    <w:rsid w:val="006730CC"/>
    <w:rsid w:val="0067373F"/>
    <w:rsid w:val="006737CE"/>
    <w:rsid w:val="00674168"/>
    <w:rsid w:val="00674E7A"/>
    <w:rsid w:val="00677B92"/>
    <w:rsid w:val="00680184"/>
    <w:rsid w:val="00680196"/>
    <w:rsid w:val="006801F0"/>
    <w:rsid w:val="006803EA"/>
    <w:rsid w:val="006813E4"/>
    <w:rsid w:val="00683071"/>
    <w:rsid w:val="00683D39"/>
    <w:rsid w:val="00686517"/>
    <w:rsid w:val="00687C21"/>
    <w:rsid w:val="0069320F"/>
    <w:rsid w:val="00693450"/>
    <w:rsid w:val="00696435"/>
    <w:rsid w:val="006964C3"/>
    <w:rsid w:val="006A1C64"/>
    <w:rsid w:val="006A5044"/>
    <w:rsid w:val="006A53C9"/>
    <w:rsid w:val="006A53D7"/>
    <w:rsid w:val="006A5D59"/>
    <w:rsid w:val="006A6782"/>
    <w:rsid w:val="006A6E88"/>
    <w:rsid w:val="006B0230"/>
    <w:rsid w:val="006B05CD"/>
    <w:rsid w:val="006B075E"/>
    <w:rsid w:val="006B0CC0"/>
    <w:rsid w:val="006B0F3D"/>
    <w:rsid w:val="006B2226"/>
    <w:rsid w:val="006C1EBB"/>
    <w:rsid w:val="006C3986"/>
    <w:rsid w:val="006C4F78"/>
    <w:rsid w:val="006C63AE"/>
    <w:rsid w:val="006C63C2"/>
    <w:rsid w:val="006C711B"/>
    <w:rsid w:val="006D07D6"/>
    <w:rsid w:val="006D1611"/>
    <w:rsid w:val="006D2751"/>
    <w:rsid w:val="006D37D0"/>
    <w:rsid w:val="006D46B5"/>
    <w:rsid w:val="006D52AD"/>
    <w:rsid w:val="006D6442"/>
    <w:rsid w:val="006E064C"/>
    <w:rsid w:val="006E0AA4"/>
    <w:rsid w:val="006E1DDD"/>
    <w:rsid w:val="006E48E4"/>
    <w:rsid w:val="006E4FBF"/>
    <w:rsid w:val="006E6287"/>
    <w:rsid w:val="006E70AA"/>
    <w:rsid w:val="006E718D"/>
    <w:rsid w:val="006E7C08"/>
    <w:rsid w:val="006F10CD"/>
    <w:rsid w:val="006F10F0"/>
    <w:rsid w:val="006F140D"/>
    <w:rsid w:val="006F2A8A"/>
    <w:rsid w:val="006F2F9D"/>
    <w:rsid w:val="006F3013"/>
    <w:rsid w:val="006F350D"/>
    <w:rsid w:val="006F5F2F"/>
    <w:rsid w:val="006F66B1"/>
    <w:rsid w:val="006F72EC"/>
    <w:rsid w:val="006F7D98"/>
    <w:rsid w:val="00705F15"/>
    <w:rsid w:val="00707949"/>
    <w:rsid w:val="007118D7"/>
    <w:rsid w:val="00713515"/>
    <w:rsid w:val="00720217"/>
    <w:rsid w:val="00721E13"/>
    <w:rsid w:val="00723AC4"/>
    <w:rsid w:val="00723BA7"/>
    <w:rsid w:val="00723E83"/>
    <w:rsid w:val="00724EF9"/>
    <w:rsid w:val="0072598F"/>
    <w:rsid w:val="00725A79"/>
    <w:rsid w:val="007263F0"/>
    <w:rsid w:val="00726C86"/>
    <w:rsid w:val="00726D70"/>
    <w:rsid w:val="00727AF1"/>
    <w:rsid w:val="00727BB5"/>
    <w:rsid w:val="007314E7"/>
    <w:rsid w:val="007349B4"/>
    <w:rsid w:val="00735154"/>
    <w:rsid w:val="007359E9"/>
    <w:rsid w:val="00736318"/>
    <w:rsid w:val="00741AA7"/>
    <w:rsid w:val="00742BEF"/>
    <w:rsid w:val="00743E88"/>
    <w:rsid w:val="00745338"/>
    <w:rsid w:val="00746243"/>
    <w:rsid w:val="00746FB0"/>
    <w:rsid w:val="007478F2"/>
    <w:rsid w:val="00752B06"/>
    <w:rsid w:val="00757DD1"/>
    <w:rsid w:val="00757F29"/>
    <w:rsid w:val="007600AE"/>
    <w:rsid w:val="00760C9F"/>
    <w:rsid w:val="00763CC1"/>
    <w:rsid w:val="007640CC"/>
    <w:rsid w:val="00764804"/>
    <w:rsid w:val="007673BE"/>
    <w:rsid w:val="007678A9"/>
    <w:rsid w:val="007730C2"/>
    <w:rsid w:val="00773850"/>
    <w:rsid w:val="00774611"/>
    <w:rsid w:val="00774889"/>
    <w:rsid w:val="00775875"/>
    <w:rsid w:val="00784848"/>
    <w:rsid w:val="00784A78"/>
    <w:rsid w:val="00786699"/>
    <w:rsid w:val="00786756"/>
    <w:rsid w:val="007872E4"/>
    <w:rsid w:val="00787457"/>
    <w:rsid w:val="00792BEF"/>
    <w:rsid w:val="00793B14"/>
    <w:rsid w:val="00793BD2"/>
    <w:rsid w:val="007949E0"/>
    <w:rsid w:val="00795327"/>
    <w:rsid w:val="00797A35"/>
    <w:rsid w:val="007A092D"/>
    <w:rsid w:val="007A20E4"/>
    <w:rsid w:val="007A28A7"/>
    <w:rsid w:val="007A2C00"/>
    <w:rsid w:val="007A4087"/>
    <w:rsid w:val="007A427F"/>
    <w:rsid w:val="007A506B"/>
    <w:rsid w:val="007A5914"/>
    <w:rsid w:val="007A59E2"/>
    <w:rsid w:val="007A5DF7"/>
    <w:rsid w:val="007B18B0"/>
    <w:rsid w:val="007B37F8"/>
    <w:rsid w:val="007B5C1D"/>
    <w:rsid w:val="007B66A7"/>
    <w:rsid w:val="007C16BF"/>
    <w:rsid w:val="007C3CB1"/>
    <w:rsid w:val="007D383B"/>
    <w:rsid w:val="007D538C"/>
    <w:rsid w:val="007D59C7"/>
    <w:rsid w:val="007D5B0F"/>
    <w:rsid w:val="007D6BE6"/>
    <w:rsid w:val="007D7B77"/>
    <w:rsid w:val="007E0E70"/>
    <w:rsid w:val="007E17DF"/>
    <w:rsid w:val="007E2B3E"/>
    <w:rsid w:val="007E2F46"/>
    <w:rsid w:val="007E315C"/>
    <w:rsid w:val="007E6D8E"/>
    <w:rsid w:val="007E7000"/>
    <w:rsid w:val="007F14F5"/>
    <w:rsid w:val="007F24D4"/>
    <w:rsid w:val="007F635C"/>
    <w:rsid w:val="007F6E47"/>
    <w:rsid w:val="007F7226"/>
    <w:rsid w:val="0080159B"/>
    <w:rsid w:val="008041B9"/>
    <w:rsid w:val="0080435E"/>
    <w:rsid w:val="00804EA3"/>
    <w:rsid w:val="00805594"/>
    <w:rsid w:val="00806A0E"/>
    <w:rsid w:val="00810336"/>
    <w:rsid w:val="00812F1A"/>
    <w:rsid w:val="008147DC"/>
    <w:rsid w:val="00820027"/>
    <w:rsid w:val="00820059"/>
    <w:rsid w:val="00820231"/>
    <w:rsid w:val="00820EC8"/>
    <w:rsid w:val="00821135"/>
    <w:rsid w:val="00821A2E"/>
    <w:rsid w:val="00821B9C"/>
    <w:rsid w:val="00821E21"/>
    <w:rsid w:val="00822951"/>
    <w:rsid w:val="00823B75"/>
    <w:rsid w:val="00823B92"/>
    <w:rsid w:val="00824F0E"/>
    <w:rsid w:val="008259E4"/>
    <w:rsid w:val="00826EED"/>
    <w:rsid w:val="00830CBA"/>
    <w:rsid w:val="00831008"/>
    <w:rsid w:val="00833990"/>
    <w:rsid w:val="00833F5C"/>
    <w:rsid w:val="00834D8E"/>
    <w:rsid w:val="0084128A"/>
    <w:rsid w:val="00843606"/>
    <w:rsid w:val="008438F3"/>
    <w:rsid w:val="00843E24"/>
    <w:rsid w:val="0084634B"/>
    <w:rsid w:val="0084657A"/>
    <w:rsid w:val="00847EA6"/>
    <w:rsid w:val="00850998"/>
    <w:rsid w:val="00857F6E"/>
    <w:rsid w:val="00861374"/>
    <w:rsid w:val="008619CE"/>
    <w:rsid w:val="00870034"/>
    <w:rsid w:val="008705E3"/>
    <w:rsid w:val="0087158A"/>
    <w:rsid w:val="0087248D"/>
    <w:rsid w:val="00873608"/>
    <w:rsid w:val="00873E3D"/>
    <w:rsid w:val="008752C0"/>
    <w:rsid w:val="00880D07"/>
    <w:rsid w:val="00881537"/>
    <w:rsid w:val="00881A36"/>
    <w:rsid w:val="00882EFA"/>
    <w:rsid w:val="00883375"/>
    <w:rsid w:val="0088340D"/>
    <w:rsid w:val="00885D62"/>
    <w:rsid w:val="0089074E"/>
    <w:rsid w:val="00890D08"/>
    <w:rsid w:val="00894A0A"/>
    <w:rsid w:val="00894B05"/>
    <w:rsid w:val="008955BC"/>
    <w:rsid w:val="008965DD"/>
    <w:rsid w:val="0089665D"/>
    <w:rsid w:val="008975E9"/>
    <w:rsid w:val="008A1C9E"/>
    <w:rsid w:val="008A1CD6"/>
    <w:rsid w:val="008A2317"/>
    <w:rsid w:val="008A2683"/>
    <w:rsid w:val="008A2707"/>
    <w:rsid w:val="008A2CEF"/>
    <w:rsid w:val="008A3EC9"/>
    <w:rsid w:val="008A44AD"/>
    <w:rsid w:val="008A45B5"/>
    <w:rsid w:val="008A4B30"/>
    <w:rsid w:val="008A5644"/>
    <w:rsid w:val="008A6377"/>
    <w:rsid w:val="008B0C21"/>
    <w:rsid w:val="008B186A"/>
    <w:rsid w:val="008B2041"/>
    <w:rsid w:val="008B2AA3"/>
    <w:rsid w:val="008B33C1"/>
    <w:rsid w:val="008B630F"/>
    <w:rsid w:val="008B707D"/>
    <w:rsid w:val="008C1811"/>
    <w:rsid w:val="008C2535"/>
    <w:rsid w:val="008C2751"/>
    <w:rsid w:val="008C471E"/>
    <w:rsid w:val="008C6322"/>
    <w:rsid w:val="008C7047"/>
    <w:rsid w:val="008D050C"/>
    <w:rsid w:val="008D0751"/>
    <w:rsid w:val="008D1CD2"/>
    <w:rsid w:val="008D498E"/>
    <w:rsid w:val="008D4B12"/>
    <w:rsid w:val="008D4B8D"/>
    <w:rsid w:val="008D5718"/>
    <w:rsid w:val="008E14AF"/>
    <w:rsid w:val="008E1534"/>
    <w:rsid w:val="008E2CFC"/>
    <w:rsid w:val="008E3D03"/>
    <w:rsid w:val="008E43D1"/>
    <w:rsid w:val="008E534F"/>
    <w:rsid w:val="008E56F8"/>
    <w:rsid w:val="008E5DAF"/>
    <w:rsid w:val="008E64CB"/>
    <w:rsid w:val="008F0BD5"/>
    <w:rsid w:val="008F29CC"/>
    <w:rsid w:val="008F32CD"/>
    <w:rsid w:val="008F35A0"/>
    <w:rsid w:val="008F41E3"/>
    <w:rsid w:val="008F4914"/>
    <w:rsid w:val="008F6F27"/>
    <w:rsid w:val="009009A6"/>
    <w:rsid w:val="0090179C"/>
    <w:rsid w:val="00901A7B"/>
    <w:rsid w:val="0090277D"/>
    <w:rsid w:val="00902F2C"/>
    <w:rsid w:val="009039F7"/>
    <w:rsid w:val="00905A39"/>
    <w:rsid w:val="00905E05"/>
    <w:rsid w:val="009064F7"/>
    <w:rsid w:val="009079AE"/>
    <w:rsid w:val="00907A27"/>
    <w:rsid w:val="00907A95"/>
    <w:rsid w:val="00907AEA"/>
    <w:rsid w:val="00910134"/>
    <w:rsid w:val="00911BC0"/>
    <w:rsid w:val="0091403A"/>
    <w:rsid w:val="00915DA8"/>
    <w:rsid w:val="00916869"/>
    <w:rsid w:val="00916B41"/>
    <w:rsid w:val="009176B0"/>
    <w:rsid w:val="0092117E"/>
    <w:rsid w:val="00922398"/>
    <w:rsid w:val="00923B3E"/>
    <w:rsid w:val="009240BF"/>
    <w:rsid w:val="009272AE"/>
    <w:rsid w:val="009276B0"/>
    <w:rsid w:val="00931AF0"/>
    <w:rsid w:val="009325CC"/>
    <w:rsid w:val="009359F1"/>
    <w:rsid w:val="00935C77"/>
    <w:rsid w:val="00935D53"/>
    <w:rsid w:val="0093682D"/>
    <w:rsid w:val="00936CC4"/>
    <w:rsid w:val="00937743"/>
    <w:rsid w:val="009377E2"/>
    <w:rsid w:val="00937F87"/>
    <w:rsid w:val="009404CF"/>
    <w:rsid w:val="00944ABA"/>
    <w:rsid w:val="0094773E"/>
    <w:rsid w:val="00947EA6"/>
    <w:rsid w:val="00950371"/>
    <w:rsid w:val="00953180"/>
    <w:rsid w:val="00954311"/>
    <w:rsid w:val="00956192"/>
    <w:rsid w:val="009561EC"/>
    <w:rsid w:val="00957CEB"/>
    <w:rsid w:val="009606EB"/>
    <w:rsid w:val="00965DE3"/>
    <w:rsid w:val="0096680B"/>
    <w:rsid w:val="00966D02"/>
    <w:rsid w:val="009678EA"/>
    <w:rsid w:val="00967A5C"/>
    <w:rsid w:val="00972192"/>
    <w:rsid w:val="00973B5C"/>
    <w:rsid w:val="00973DEE"/>
    <w:rsid w:val="00975D7D"/>
    <w:rsid w:val="00976515"/>
    <w:rsid w:val="009817E8"/>
    <w:rsid w:val="00981C86"/>
    <w:rsid w:val="00982B95"/>
    <w:rsid w:val="009858E0"/>
    <w:rsid w:val="00987A22"/>
    <w:rsid w:val="00990092"/>
    <w:rsid w:val="00991930"/>
    <w:rsid w:val="00991C84"/>
    <w:rsid w:val="0099350E"/>
    <w:rsid w:val="00996E8E"/>
    <w:rsid w:val="009A06A1"/>
    <w:rsid w:val="009A1D08"/>
    <w:rsid w:val="009A20B1"/>
    <w:rsid w:val="009A292B"/>
    <w:rsid w:val="009A6CC6"/>
    <w:rsid w:val="009A7A46"/>
    <w:rsid w:val="009B042F"/>
    <w:rsid w:val="009B381E"/>
    <w:rsid w:val="009B622E"/>
    <w:rsid w:val="009B71DC"/>
    <w:rsid w:val="009C238D"/>
    <w:rsid w:val="009C25D9"/>
    <w:rsid w:val="009C2B24"/>
    <w:rsid w:val="009C2D1E"/>
    <w:rsid w:val="009C40EC"/>
    <w:rsid w:val="009C44A4"/>
    <w:rsid w:val="009C589D"/>
    <w:rsid w:val="009C5EAE"/>
    <w:rsid w:val="009C7327"/>
    <w:rsid w:val="009C77F7"/>
    <w:rsid w:val="009D1BA6"/>
    <w:rsid w:val="009D4DAF"/>
    <w:rsid w:val="009D5452"/>
    <w:rsid w:val="009D5A94"/>
    <w:rsid w:val="009D6833"/>
    <w:rsid w:val="009D6BC9"/>
    <w:rsid w:val="009E001A"/>
    <w:rsid w:val="009E1366"/>
    <w:rsid w:val="009E29C9"/>
    <w:rsid w:val="009E3EC9"/>
    <w:rsid w:val="009E5884"/>
    <w:rsid w:val="009E58ED"/>
    <w:rsid w:val="009E6591"/>
    <w:rsid w:val="009F06B0"/>
    <w:rsid w:val="009F22AF"/>
    <w:rsid w:val="009F327C"/>
    <w:rsid w:val="009F366F"/>
    <w:rsid w:val="009F4CAE"/>
    <w:rsid w:val="009F4DE6"/>
    <w:rsid w:val="009F799C"/>
    <w:rsid w:val="00A00346"/>
    <w:rsid w:val="00A00899"/>
    <w:rsid w:val="00A020B3"/>
    <w:rsid w:val="00A02A28"/>
    <w:rsid w:val="00A07A20"/>
    <w:rsid w:val="00A112E7"/>
    <w:rsid w:val="00A128E8"/>
    <w:rsid w:val="00A2002E"/>
    <w:rsid w:val="00A20532"/>
    <w:rsid w:val="00A20814"/>
    <w:rsid w:val="00A225D0"/>
    <w:rsid w:val="00A24686"/>
    <w:rsid w:val="00A25593"/>
    <w:rsid w:val="00A27068"/>
    <w:rsid w:val="00A2708A"/>
    <w:rsid w:val="00A33926"/>
    <w:rsid w:val="00A34796"/>
    <w:rsid w:val="00A35590"/>
    <w:rsid w:val="00A4290C"/>
    <w:rsid w:val="00A42D45"/>
    <w:rsid w:val="00A44D23"/>
    <w:rsid w:val="00A45346"/>
    <w:rsid w:val="00A45831"/>
    <w:rsid w:val="00A54F6C"/>
    <w:rsid w:val="00A57517"/>
    <w:rsid w:val="00A63839"/>
    <w:rsid w:val="00A6445C"/>
    <w:rsid w:val="00A6751F"/>
    <w:rsid w:val="00A67E0B"/>
    <w:rsid w:val="00A70147"/>
    <w:rsid w:val="00A73ACA"/>
    <w:rsid w:val="00A749BF"/>
    <w:rsid w:val="00A74CC6"/>
    <w:rsid w:val="00A76DC3"/>
    <w:rsid w:val="00A80E81"/>
    <w:rsid w:val="00A8126A"/>
    <w:rsid w:val="00A822B2"/>
    <w:rsid w:val="00A82B71"/>
    <w:rsid w:val="00A83729"/>
    <w:rsid w:val="00A83B2B"/>
    <w:rsid w:val="00A85D7B"/>
    <w:rsid w:val="00A87739"/>
    <w:rsid w:val="00A90503"/>
    <w:rsid w:val="00A92832"/>
    <w:rsid w:val="00A93216"/>
    <w:rsid w:val="00A93F22"/>
    <w:rsid w:val="00A93F34"/>
    <w:rsid w:val="00A96D1B"/>
    <w:rsid w:val="00A97519"/>
    <w:rsid w:val="00A979ED"/>
    <w:rsid w:val="00AA203D"/>
    <w:rsid w:val="00AA279E"/>
    <w:rsid w:val="00AA537E"/>
    <w:rsid w:val="00AA57E6"/>
    <w:rsid w:val="00AA59A0"/>
    <w:rsid w:val="00AA6FD4"/>
    <w:rsid w:val="00AB2920"/>
    <w:rsid w:val="00AB47DC"/>
    <w:rsid w:val="00AB5679"/>
    <w:rsid w:val="00AC1A3F"/>
    <w:rsid w:val="00AC1A4B"/>
    <w:rsid w:val="00AC3642"/>
    <w:rsid w:val="00AD01C2"/>
    <w:rsid w:val="00AD159C"/>
    <w:rsid w:val="00AD2B5C"/>
    <w:rsid w:val="00AD30C9"/>
    <w:rsid w:val="00AD4DD2"/>
    <w:rsid w:val="00AE1333"/>
    <w:rsid w:val="00AE7035"/>
    <w:rsid w:val="00AE7757"/>
    <w:rsid w:val="00AF060E"/>
    <w:rsid w:val="00AF2D42"/>
    <w:rsid w:val="00AF3A39"/>
    <w:rsid w:val="00AF572D"/>
    <w:rsid w:val="00AF79CB"/>
    <w:rsid w:val="00AF7F1E"/>
    <w:rsid w:val="00B01639"/>
    <w:rsid w:val="00B07D81"/>
    <w:rsid w:val="00B14D9D"/>
    <w:rsid w:val="00B166B5"/>
    <w:rsid w:val="00B174D2"/>
    <w:rsid w:val="00B216CF"/>
    <w:rsid w:val="00B21946"/>
    <w:rsid w:val="00B262C8"/>
    <w:rsid w:val="00B26DB6"/>
    <w:rsid w:val="00B3015E"/>
    <w:rsid w:val="00B30D09"/>
    <w:rsid w:val="00B34382"/>
    <w:rsid w:val="00B34C51"/>
    <w:rsid w:val="00B3525C"/>
    <w:rsid w:val="00B41404"/>
    <w:rsid w:val="00B41EA1"/>
    <w:rsid w:val="00B42A83"/>
    <w:rsid w:val="00B452A3"/>
    <w:rsid w:val="00B46D6B"/>
    <w:rsid w:val="00B503EA"/>
    <w:rsid w:val="00B505F9"/>
    <w:rsid w:val="00B510BF"/>
    <w:rsid w:val="00B523ED"/>
    <w:rsid w:val="00B5244A"/>
    <w:rsid w:val="00B531AB"/>
    <w:rsid w:val="00B53C58"/>
    <w:rsid w:val="00B651E4"/>
    <w:rsid w:val="00B66A36"/>
    <w:rsid w:val="00B71883"/>
    <w:rsid w:val="00B72438"/>
    <w:rsid w:val="00B73EA3"/>
    <w:rsid w:val="00B74559"/>
    <w:rsid w:val="00B76557"/>
    <w:rsid w:val="00B85489"/>
    <w:rsid w:val="00B86A2A"/>
    <w:rsid w:val="00B87179"/>
    <w:rsid w:val="00B900B9"/>
    <w:rsid w:val="00B902C2"/>
    <w:rsid w:val="00B9048A"/>
    <w:rsid w:val="00B906E1"/>
    <w:rsid w:val="00B93B50"/>
    <w:rsid w:val="00B951FF"/>
    <w:rsid w:val="00BA0F40"/>
    <w:rsid w:val="00BA118B"/>
    <w:rsid w:val="00BA328B"/>
    <w:rsid w:val="00BA3D5F"/>
    <w:rsid w:val="00BA47F0"/>
    <w:rsid w:val="00BA4E0F"/>
    <w:rsid w:val="00BA7890"/>
    <w:rsid w:val="00BB0DE5"/>
    <w:rsid w:val="00BB1AC4"/>
    <w:rsid w:val="00BB1C7E"/>
    <w:rsid w:val="00BB24F5"/>
    <w:rsid w:val="00BB2E04"/>
    <w:rsid w:val="00BB34E3"/>
    <w:rsid w:val="00BB4510"/>
    <w:rsid w:val="00BB48BD"/>
    <w:rsid w:val="00BB5721"/>
    <w:rsid w:val="00BB69DB"/>
    <w:rsid w:val="00BB6F82"/>
    <w:rsid w:val="00BC2ED4"/>
    <w:rsid w:val="00BC36B3"/>
    <w:rsid w:val="00BD0693"/>
    <w:rsid w:val="00BD0CCE"/>
    <w:rsid w:val="00BD1014"/>
    <w:rsid w:val="00BD396E"/>
    <w:rsid w:val="00BD4914"/>
    <w:rsid w:val="00BD55B7"/>
    <w:rsid w:val="00BD7AF5"/>
    <w:rsid w:val="00BD7F12"/>
    <w:rsid w:val="00BE0572"/>
    <w:rsid w:val="00BE0F0E"/>
    <w:rsid w:val="00BE20C3"/>
    <w:rsid w:val="00BE2331"/>
    <w:rsid w:val="00BE2B5E"/>
    <w:rsid w:val="00BE2FE6"/>
    <w:rsid w:val="00BE470D"/>
    <w:rsid w:val="00BE4A53"/>
    <w:rsid w:val="00BE7875"/>
    <w:rsid w:val="00BF0642"/>
    <w:rsid w:val="00BF0A84"/>
    <w:rsid w:val="00BF21B1"/>
    <w:rsid w:val="00BF29AC"/>
    <w:rsid w:val="00BF4912"/>
    <w:rsid w:val="00BF4B8F"/>
    <w:rsid w:val="00BF6EC2"/>
    <w:rsid w:val="00C000FD"/>
    <w:rsid w:val="00C005BC"/>
    <w:rsid w:val="00C00D81"/>
    <w:rsid w:val="00C00DD1"/>
    <w:rsid w:val="00C01DF1"/>
    <w:rsid w:val="00C04D83"/>
    <w:rsid w:val="00C1070D"/>
    <w:rsid w:val="00C10B3B"/>
    <w:rsid w:val="00C11D3A"/>
    <w:rsid w:val="00C11ECE"/>
    <w:rsid w:val="00C129DE"/>
    <w:rsid w:val="00C16B79"/>
    <w:rsid w:val="00C2099E"/>
    <w:rsid w:val="00C21D8C"/>
    <w:rsid w:val="00C224C0"/>
    <w:rsid w:val="00C23631"/>
    <w:rsid w:val="00C23CF0"/>
    <w:rsid w:val="00C249F4"/>
    <w:rsid w:val="00C31695"/>
    <w:rsid w:val="00C31BB5"/>
    <w:rsid w:val="00C3339F"/>
    <w:rsid w:val="00C34562"/>
    <w:rsid w:val="00C378B9"/>
    <w:rsid w:val="00C5179F"/>
    <w:rsid w:val="00C51826"/>
    <w:rsid w:val="00C525CD"/>
    <w:rsid w:val="00C52A04"/>
    <w:rsid w:val="00C52F58"/>
    <w:rsid w:val="00C5468F"/>
    <w:rsid w:val="00C55F9D"/>
    <w:rsid w:val="00C579D5"/>
    <w:rsid w:val="00C57FF1"/>
    <w:rsid w:val="00C60145"/>
    <w:rsid w:val="00C60836"/>
    <w:rsid w:val="00C62223"/>
    <w:rsid w:val="00C63EFC"/>
    <w:rsid w:val="00C656D3"/>
    <w:rsid w:val="00C76128"/>
    <w:rsid w:val="00C82776"/>
    <w:rsid w:val="00C8303E"/>
    <w:rsid w:val="00C839EF"/>
    <w:rsid w:val="00C83C7F"/>
    <w:rsid w:val="00C84EC9"/>
    <w:rsid w:val="00C85731"/>
    <w:rsid w:val="00C8587E"/>
    <w:rsid w:val="00C862F6"/>
    <w:rsid w:val="00C8685C"/>
    <w:rsid w:val="00C87826"/>
    <w:rsid w:val="00C900B9"/>
    <w:rsid w:val="00C9066A"/>
    <w:rsid w:val="00C90AE0"/>
    <w:rsid w:val="00C90B17"/>
    <w:rsid w:val="00C926AE"/>
    <w:rsid w:val="00C9400D"/>
    <w:rsid w:val="00C97DB5"/>
    <w:rsid w:val="00CA0E26"/>
    <w:rsid w:val="00CA0FE5"/>
    <w:rsid w:val="00CA1B3B"/>
    <w:rsid w:val="00CA560E"/>
    <w:rsid w:val="00CA723F"/>
    <w:rsid w:val="00CB09CE"/>
    <w:rsid w:val="00CB6C17"/>
    <w:rsid w:val="00CB7304"/>
    <w:rsid w:val="00CB7555"/>
    <w:rsid w:val="00CB78C4"/>
    <w:rsid w:val="00CC1CB4"/>
    <w:rsid w:val="00CC7822"/>
    <w:rsid w:val="00CD02AB"/>
    <w:rsid w:val="00CD15B8"/>
    <w:rsid w:val="00CD2EA0"/>
    <w:rsid w:val="00CD330F"/>
    <w:rsid w:val="00CD4123"/>
    <w:rsid w:val="00CD6788"/>
    <w:rsid w:val="00CD681E"/>
    <w:rsid w:val="00CD74AC"/>
    <w:rsid w:val="00CE2716"/>
    <w:rsid w:val="00CE2DFA"/>
    <w:rsid w:val="00CE461E"/>
    <w:rsid w:val="00CE699E"/>
    <w:rsid w:val="00CE7B3A"/>
    <w:rsid w:val="00CF00D7"/>
    <w:rsid w:val="00CF01F6"/>
    <w:rsid w:val="00CF0B31"/>
    <w:rsid w:val="00CF3B65"/>
    <w:rsid w:val="00CF5CDF"/>
    <w:rsid w:val="00CF6DC4"/>
    <w:rsid w:val="00CF7297"/>
    <w:rsid w:val="00CF77BF"/>
    <w:rsid w:val="00CF7998"/>
    <w:rsid w:val="00CF7D07"/>
    <w:rsid w:val="00D00BE7"/>
    <w:rsid w:val="00D00E94"/>
    <w:rsid w:val="00D03109"/>
    <w:rsid w:val="00D03A53"/>
    <w:rsid w:val="00D04219"/>
    <w:rsid w:val="00D042B9"/>
    <w:rsid w:val="00D075C8"/>
    <w:rsid w:val="00D100AF"/>
    <w:rsid w:val="00D12BAF"/>
    <w:rsid w:val="00D14823"/>
    <w:rsid w:val="00D17BFC"/>
    <w:rsid w:val="00D2151B"/>
    <w:rsid w:val="00D24521"/>
    <w:rsid w:val="00D24944"/>
    <w:rsid w:val="00D250E4"/>
    <w:rsid w:val="00D27C6F"/>
    <w:rsid w:val="00D30B66"/>
    <w:rsid w:val="00D31842"/>
    <w:rsid w:val="00D31C14"/>
    <w:rsid w:val="00D3331B"/>
    <w:rsid w:val="00D35098"/>
    <w:rsid w:val="00D41547"/>
    <w:rsid w:val="00D42BA9"/>
    <w:rsid w:val="00D43767"/>
    <w:rsid w:val="00D4461C"/>
    <w:rsid w:val="00D44E83"/>
    <w:rsid w:val="00D478F6"/>
    <w:rsid w:val="00D501A1"/>
    <w:rsid w:val="00D52251"/>
    <w:rsid w:val="00D5637D"/>
    <w:rsid w:val="00D60512"/>
    <w:rsid w:val="00D60B36"/>
    <w:rsid w:val="00D61D54"/>
    <w:rsid w:val="00D63CCB"/>
    <w:rsid w:val="00D65E59"/>
    <w:rsid w:val="00D7049A"/>
    <w:rsid w:val="00D7055A"/>
    <w:rsid w:val="00D70A75"/>
    <w:rsid w:val="00D72A31"/>
    <w:rsid w:val="00D73D1F"/>
    <w:rsid w:val="00D7465B"/>
    <w:rsid w:val="00D8203D"/>
    <w:rsid w:val="00D82EC9"/>
    <w:rsid w:val="00D834B4"/>
    <w:rsid w:val="00D85741"/>
    <w:rsid w:val="00D85CA0"/>
    <w:rsid w:val="00D903E2"/>
    <w:rsid w:val="00D9055C"/>
    <w:rsid w:val="00D90C50"/>
    <w:rsid w:val="00D92F9F"/>
    <w:rsid w:val="00D93260"/>
    <w:rsid w:val="00D934F0"/>
    <w:rsid w:val="00D94754"/>
    <w:rsid w:val="00D94C5D"/>
    <w:rsid w:val="00DA3DF4"/>
    <w:rsid w:val="00DA48DA"/>
    <w:rsid w:val="00DA6976"/>
    <w:rsid w:val="00DA7ECA"/>
    <w:rsid w:val="00DB0169"/>
    <w:rsid w:val="00DB02E7"/>
    <w:rsid w:val="00DB08AA"/>
    <w:rsid w:val="00DB0AC3"/>
    <w:rsid w:val="00DB19FF"/>
    <w:rsid w:val="00DB1F3F"/>
    <w:rsid w:val="00DB2168"/>
    <w:rsid w:val="00DB31BA"/>
    <w:rsid w:val="00DB3B2C"/>
    <w:rsid w:val="00DB41EA"/>
    <w:rsid w:val="00DB456B"/>
    <w:rsid w:val="00DB6703"/>
    <w:rsid w:val="00DB67FA"/>
    <w:rsid w:val="00DB6D2A"/>
    <w:rsid w:val="00DB6E4E"/>
    <w:rsid w:val="00DB715E"/>
    <w:rsid w:val="00DB71DB"/>
    <w:rsid w:val="00DC1B78"/>
    <w:rsid w:val="00DC2152"/>
    <w:rsid w:val="00DC558F"/>
    <w:rsid w:val="00DC6060"/>
    <w:rsid w:val="00DC611C"/>
    <w:rsid w:val="00DC663A"/>
    <w:rsid w:val="00DC7E22"/>
    <w:rsid w:val="00DD0632"/>
    <w:rsid w:val="00DD2A09"/>
    <w:rsid w:val="00DD31EE"/>
    <w:rsid w:val="00DD3713"/>
    <w:rsid w:val="00DD3B2B"/>
    <w:rsid w:val="00DD4F45"/>
    <w:rsid w:val="00DE0FBA"/>
    <w:rsid w:val="00DE7345"/>
    <w:rsid w:val="00DF043F"/>
    <w:rsid w:val="00DF0F1C"/>
    <w:rsid w:val="00DF278B"/>
    <w:rsid w:val="00DF3D29"/>
    <w:rsid w:val="00DF6EFD"/>
    <w:rsid w:val="00DF742C"/>
    <w:rsid w:val="00E000E2"/>
    <w:rsid w:val="00E004DB"/>
    <w:rsid w:val="00E005C1"/>
    <w:rsid w:val="00E00A57"/>
    <w:rsid w:val="00E020B4"/>
    <w:rsid w:val="00E033A6"/>
    <w:rsid w:val="00E07299"/>
    <w:rsid w:val="00E10987"/>
    <w:rsid w:val="00E12162"/>
    <w:rsid w:val="00E1237D"/>
    <w:rsid w:val="00E1246C"/>
    <w:rsid w:val="00E15FE2"/>
    <w:rsid w:val="00E17A0A"/>
    <w:rsid w:val="00E17FDA"/>
    <w:rsid w:val="00E20973"/>
    <w:rsid w:val="00E20EAD"/>
    <w:rsid w:val="00E2114F"/>
    <w:rsid w:val="00E21AA1"/>
    <w:rsid w:val="00E231B5"/>
    <w:rsid w:val="00E239BD"/>
    <w:rsid w:val="00E27D5F"/>
    <w:rsid w:val="00E30917"/>
    <w:rsid w:val="00E3139F"/>
    <w:rsid w:val="00E31BEB"/>
    <w:rsid w:val="00E32F77"/>
    <w:rsid w:val="00E36679"/>
    <w:rsid w:val="00E4097E"/>
    <w:rsid w:val="00E41838"/>
    <w:rsid w:val="00E435F9"/>
    <w:rsid w:val="00E44A2E"/>
    <w:rsid w:val="00E4516F"/>
    <w:rsid w:val="00E456B9"/>
    <w:rsid w:val="00E51892"/>
    <w:rsid w:val="00E51C99"/>
    <w:rsid w:val="00E52E82"/>
    <w:rsid w:val="00E541DB"/>
    <w:rsid w:val="00E54F18"/>
    <w:rsid w:val="00E56C89"/>
    <w:rsid w:val="00E602E6"/>
    <w:rsid w:val="00E61936"/>
    <w:rsid w:val="00E62BA0"/>
    <w:rsid w:val="00E636C5"/>
    <w:rsid w:val="00E64002"/>
    <w:rsid w:val="00E643F7"/>
    <w:rsid w:val="00E65069"/>
    <w:rsid w:val="00E661DA"/>
    <w:rsid w:val="00E666A2"/>
    <w:rsid w:val="00E666D3"/>
    <w:rsid w:val="00E676F8"/>
    <w:rsid w:val="00E6795C"/>
    <w:rsid w:val="00E70CBD"/>
    <w:rsid w:val="00E72C79"/>
    <w:rsid w:val="00E72D9D"/>
    <w:rsid w:val="00E760AA"/>
    <w:rsid w:val="00E775D3"/>
    <w:rsid w:val="00E806D4"/>
    <w:rsid w:val="00E827E8"/>
    <w:rsid w:val="00E85FC6"/>
    <w:rsid w:val="00E90805"/>
    <w:rsid w:val="00E93BED"/>
    <w:rsid w:val="00E963FB"/>
    <w:rsid w:val="00E9752E"/>
    <w:rsid w:val="00E975A8"/>
    <w:rsid w:val="00EA0275"/>
    <w:rsid w:val="00EA29A3"/>
    <w:rsid w:val="00EA3439"/>
    <w:rsid w:val="00EA543D"/>
    <w:rsid w:val="00EA71B1"/>
    <w:rsid w:val="00EA73CD"/>
    <w:rsid w:val="00EB025B"/>
    <w:rsid w:val="00EB198B"/>
    <w:rsid w:val="00EB2240"/>
    <w:rsid w:val="00EB4365"/>
    <w:rsid w:val="00EB5250"/>
    <w:rsid w:val="00EC15BB"/>
    <w:rsid w:val="00EC16E8"/>
    <w:rsid w:val="00EC24C7"/>
    <w:rsid w:val="00EC2781"/>
    <w:rsid w:val="00EC450B"/>
    <w:rsid w:val="00EC4E93"/>
    <w:rsid w:val="00EC6E0D"/>
    <w:rsid w:val="00EC772B"/>
    <w:rsid w:val="00ED0802"/>
    <w:rsid w:val="00ED15EF"/>
    <w:rsid w:val="00ED338A"/>
    <w:rsid w:val="00ED4506"/>
    <w:rsid w:val="00ED5D29"/>
    <w:rsid w:val="00ED6F01"/>
    <w:rsid w:val="00EE1F28"/>
    <w:rsid w:val="00EE46DE"/>
    <w:rsid w:val="00EE7541"/>
    <w:rsid w:val="00EE79AE"/>
    <w:rsid w:val="00EF067B"/>
    <w:rsid w:val="00EF0CD0"/>
    <w:rsid w:val="00EF1796"/>
    <w:rsid w:val="00EF1DD8"/>
    <w:rsid w:val="00EF2A2C"/>
    <w:rsid w:val="00EF30E5"/>
    <w:rsid w:val="00EF4272"/>
    <w:rsid w:val="00EF5746"/>
    <w:rsid w:val="00EF587D"/>
    <w:rsid w:val="00EF7A51"/>
    <w:rsid w:val="00F0098C"/>
    <w:rsid w:val="00F03628"/>
    <w:rsid w:val="00F03EE9"/>
    <w:rsid w:val="00F06D25"/>
    <w:rsid w:val="00F1504E"/>
    <w:rsid w:val="00F1512E"/>
    <w:rsid w:val="00F1597B"/>
    <w:rsid w:val="00F15FCC"/>
    <w:rsid w:val="00F16262"/>
    <w:rsid w:val="00F17A84"/>
    <w:rsid w:val="00F206EA"/>
    <w:rsid w:val="00F228FC"/>
    <w:rsid w:val="00F232DE"/>
    <w:rsid w:val="00F24977"/>
    <w:rsid w:val="00F24B2C"/>
    <w:rsid w:val="00F25A6D"/>
    <w:rsid w:val="00F26279"/>
    <w:rsid w:val="00F2705F"/>
    <w:rsid w:val="00F2788D"/>
    <w:rsid w:val="00F278DA"/>
    <w:rsid w:val="00F27C6C"/>
    <w:rsid w:val="00F33BDF"/>
    <w:rsid w:val="00F3755A"/>
    <w:rsid w:val="00F37A62"/>
    <w:rsid w:val="00F37BD6"/>
    <w:rsid w:val="00F45A78"/>
    <w:rsid w:val="00F468B8"/>
    <w:rsid w:val="00F470C3"/>
    <w:rsid w:val="00F51A9F"/>
    <w:rsid w:val="00F522E2"/>
    <w:rsid w:val="00F52D4D"/>
    <w:rsid w:val="00F52E60"/>
    <w:rsid w:val="00F537FA"/>
    <w:rsid w:val="00F618F1"/>
    <w:rsid w:val="00F62A1B"/>
    <w:rsid w:val="00F650D3"/>
    <w:rsid w:val="00F6643C"/>
    <w:rsid w:val="00F668E9"/>
    <w:rsid w:val="00F7024F"/>
    <w:rsid w:val="00F73667"/>
    <w:rsid w:val="00F73D39"/>
    <w:rsid w:val="00F7454F"/>
    <w:rsid w:val="00F7637B"/>
    <w:rsid w:val="00F76BCF"/>
    <w:rsid w:val="00F77CF6"/>
    <w:rsid w:val="00F82143"/>
    <w:rsid w:val="00F8335E"/>
    <w:rsid w:val="00F86559"/>
    <w:rsid w:val="00F87C10"/>
    <w:rsid w:val="00F92280"/>
    <w:rsid w:val="00F941F9"/>
    <w:rsid w:val="00F943CE"/>
    <w:rsid w:val="00F9478D"/>
    <w:rsid w:val="00FA062B"/>
    <w:rsid w:val="00FA0D5C"/>
    <w:rsid w:val="00FA1077"/>
    <w:rsid w:val="00FA21AA"/>
    <w:rsid w:val="00FA47DC"/>
    <w:rsid w:val="00FA6179"/>
    <w:rsid w:val="00FA66DE"/>
    <w:rsid w:val="00FB071A"/>
    <w:rsid w:val="00FB1A16"/>
    <w:rsid w:val="00FB1A1C"/>
    <w:rsid w:val="00FB1E5C"/>
    <w:rsid w:val="00FB22B6"/>
    <w:rsid w:val="00FB2692"/>
    <w:rsid w:val="00FB5FAE"/>
    <w:rsid w:val="00FB676B"/>
    <w:rsid w:val="00FB743A"/>
    <w:rsid w:val="00FB75B2"/>
    <w:rsid w:val="00FC1267"/>
    <w:rsid w:val="00FC5120"/>
    <w:rsid w:val="00FC5747"/>
    <w:rsid w:val="00FC5801"/>
    <w:rsid w:val="00FC5961"/>
    <w:rsid w:val="00FD0D95"/>
    <w:rsid w:val="00FD5713"/>
    <w:rsid w:val="00FD6CF0"/>
    <w:rsid w:val="00FD7CF9"/>
    <w:rsid w:val="00FE0185"/>
    <w:rsid w:val="00FE16F5"/>
    <w:rsid w:val="00FE39A9"/>
    <w:rsid w:val="00FE4B86"/>
    <w:rsid w:val="00FF1CAD"/>
    <w:rsid w:val="00FF1D41"/>
    <w:rsid w:val="00FF2B4D"/>
    <w:rsid w:val="00FF2CC0"/>
    <w:rsid w:val="00FF4EC4"/>
    <w:rsid w:val="00FF73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15:docId w15:val="{8016B83F-A265-41FA-B839-D8BFB56D1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8B0"/>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iPriority w:val="99"/>
    <w:unhideWhenUsed/>
    <w:rsid w:val="00CE7B3A"/>
    <w:rPr>
      <w:sz w:val="20"/>
      <w:szCs w:val="20"/>
    </w:rPr>
  </w:style>
  <w:style w:type="character" w:customStyle="1" w:styleId="CommentTextChar">
    <w:name w:val="Comment Text Char"/>
    <w:basedOn w:val="DefaultParagraphFont"/>
    <w:link w:val="CommentText"/>
    <w:uiPriority w:val="99"/>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leNormal"/>
    <w:next w:val="TableGrid"/>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561EC"/>
    <w:rPr>
      <w:color w:val="605E5C"/>
      <w:shd w:val="clear" w:color="auto" w:fill="E1DFDD"/>
    </w:rPr>
  </w:style>
  <w:style w:type="paragraph" w:customStyle="1" w:styleId="Default">
    <w:name w:val="Default"/>
    <w:rsid w:val="00406B07"/>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196622305">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341670646">
      <w:bodyDiv w:val="1"/>
      <w:marLeft w:val="0"/>
      <w:marRight w:val="0"/>
      <w:marTop w:val="0"/>
      <w:marBottom w:val="0"/>
      <w:divBdr>
        <w:top w:val="none" w:sz="0" w:space="0" w:color="auto"/>
        <w:left w:val="none" w:sz="0" w:space="0" w:color="auto"/>
        <w:bottom w:val="none" w:sz="0" w:space="0" w:color="auto"/>
        <w:right w:val="none" w:sz="0" w:space="0" w:color="auto"/>
      </w:divBdr>
    </w:div>
    <w:div w:id="373122914">
      <w:bodyDiv w:val="1"/>
      <w:marLeft w:val="0"/>
      <w:marRight w:val="0"/>
      <w:marTop w:val="0"/>
      <w:marBottom w:val="0"/>
      <w:divBdr>
        <w:top w:val="none" w:sz="0" w:space="0" w:color="auto"/>
        <w:left w:val="none" w:sz="0" w:space="0" w:color="auto"/>
        <w:bottom w:val="none" w:sz="0" w:space="0" w:color="auto"/>
        <w:right w:val="none" w:sz="0" w:space="0" w:color="auto"/>
      </w:divBdr>
    </w:div>
    <w:div w:id="398329692">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648753987">
      <w:bodyDiv w:val="1"/>
      <w:marLeft w:val="0"/>
      <w:marRight w:val="0"/>
      <w:marTop w:val="0"/>
      <w:marBottom w:val="0"/>
      <w:divBdr>
        <w:top w:val="none" w:sz="0" w:space="0" w:color="auto"/>
        <w:left w:val="none" w:sz="0" w:space="0" w:color="auto"/>
        <w:bottom w:val="none" w:sz="0" w:space="0" w:color="auto"/>
        <w:right w:val="none" w:sz="0" w:space="0" w:color="auto"/>
      </w:divBdr>
    </w:div>
    <w:div w:id="655841619">
      <w:bodyDiv w:val="1"/>
      <w:marLeft w:val="0"/>
      <w:marRight w:val="0"/>
      <w:marTop w:val="0"/>
      <w:marBottom w:val="0"/>
      <w:divBdr>
        <w:top w:val="none" w:sz="0" w:space="0" w:color="auto"/>
        <w:left w:val="none" w:sz="0" w:space="0" w:color="auto"/>
        <w:bottom w:val="none" w:sz="0" w:space="0" w:color="auto"/>
        <w:right w:val="none" w:sz="0" w:space="0" w:color="auto"/>
      </w:divBdr>
    </w:div>
    <w:div w:id="724794826">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14708165">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327518847">
      <w:bodyDiv w:val="1"/>
      <w:marLeft w:val="0"/>
      <w:marRight w:val="0"/>
      <w:marTop w:val="0"/>
      <w:marBottom w:val="0"/>
      <w:divBdr>
        <w:top w:val="none" w:sz="0" w:space="0" w:color="auto"/>
        <w:left w:val="none" w:sz="0" w:space="0" w:color="auto"/>
        <w:bottom w:val="none" w:sz="0" w:space="0" w:color="auto"/>
        <w:right w:val="none" w:sz="0" w:space="0" w:color="auto"/>
      </w:divBdr>
    </w:div>
    <w:div w:id="1413354410">
      <w:bodyDiv w:val="1"/>
      <w:marLeft w:val="0"/>
      <w:marRight w:val="0"/>
      <w:marTop w:val="0"/>
      <w:marBottom w:val="0"/>
      <w:divBdr>
        <w:top w:val="none" w:sz="0" w:space="0" w:color="auto"/>
        <w:left w:val="none" w:sz="0" w:space="0" w:color="auto"/>
        <w:bottom w:val="none" w:sz="0" w:space="0" w:color="auto"/>
        <w:right w:val="none" w:sz="0" w:space="0" w:color="auto"/>
      </w:divBdr>
    </w:div>
    <w:div w:id="1487282297">
      <w:bodyDiv w:val="1"/>
      <w:marLeft w:val="0"/>
      <w:marRight w:val="0"/>
      <w:marTop w:val="0"/>
      <w:marBottom w:val="0"/>
      <w:divBdr>
        <w:top w:val="none" w:sz="0" w:space="0" w:color="auto"/>
        <w:left w:val="none" w:sz="0" w:space="0" w:color="auto"/>
        <w:bottom w:val="none" w:sz="0" w:space="0" w:color="auto"/>
        <w:right w:val="none" w:sz="0" w:space="0" w:color="auto"/>
      </w:divBdr>
    </w:div>
    <w:div w:id="1576210594">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727019">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1915048623">
      <w:bodyDiv w:val="1"/>
      <w:marLeft w:val="0"/>
      <w:marRight w:val="0"/>
      <w:marTop w:val="0"/>
      <w:marBottom w:val="0"/>
      <w:divBdr>
        <w:top w:val="none" w:sz="0" w:space="0" w:color="auto"/>
        <w:left w:val="none" w:sz="0" w:space="0" w:color="auto"/>
        <w:bottom w:val="none" w:sz="0" w:space="0" w:color="auto"/>
        <w:right w:val="none" w:sz="0" w:space="0" w:color="auto"/>
      </w:divBdr>
    </w:div>
    <w:div w:id="1956212405">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gov.ro/ro/guvernul/cabinetul-de-ministri/ministrul-afacerilor-interne-ministru-interimar-al-justitiei"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DDA33-42A4-4AB7-9231-4ED316F72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3809</Words>
  <Characters>21716</Characters>
  <Application>Microsoft Office Word</Application>
  <DocSecurity>0</DocSecurity>
  <Lines>180</Lines>
  <Paragraphs>50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IULIANA-MIHAELA CERNAZEANU</dc:creator>
  <cp:lastModifiedBy>Consuela Stegarescu</cp:lastModifiedBy>
  <cp:revision>5</cp:revision>
  <cp:lastPrinted>2022-03-01T14:53:00Z</cp:lastPrinted>
  <dcterms:created xsi:type="dcterms:W3CDTF">2022-03-02T15:40:00Z</dcterms:created>
  <dcterms:modified xsi:type="dcterms:W3CDTF">2022-03-02T16:44:00Z</dcterms:modified>
</cp:coreProperties>
</file>